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B4" w:rsidRDefault="00F07D8E">
      <w:pPr>
        <w:ind w:left="10620" w:firstLine="708"/>
      </w:pPr>
      <w:r>
        <w:t>Приложение 9</w:t>
      </w:r>
    </w:p>
    <w:p w:rsidR="002D0DB4" w:rsidRDefault="00F07D8E">
      <w:pPr>
        <w:ind w:left="11328"/>
      </w:pPr>
      <w:r>
        <w:t>к приказу № ___ от «___» ______ 202</w:t>
      </w:r>
      <w:r w:rsidR="00666449">
        <w:t>3</w:t>
      </w:r>
      <w:r>
        <w:t xml:space="preserve"> г.</w:t>
      </w:r>
    </w:p>
    <w:p w:rsidR="002D0DB4" w:rsidRDefault="00F07D8E">
      <w:pPr>
        <w:ind w:left="11328"/>
      </w:pPr>
      <w:r>
        <w:t>Комитета гражданской защиты</w:t>
      </w:r>
    </w:p>
    <w:p w:rsidR="002D0DB4" w:rsidRDefault="00F07D8E">
      <w:pPr>
        <w:ind w:left="11328"/>
      </w:pPr>
      <w:r>
        <w:t>и социальной безопасности области</w:t>
      </w:r>
    </w:p>
    <w:p w:rsidR="002D0DB4" w:rsidRDefault="002D0DB4">
      <w:pPr>
        <w:jc w:val="right"/>
      </w:pPr>
    </w:p>
    <w:p w:rsidR="002D0DB4" w:rsidRDefault="002D0DB4">
      <w:pPr>
        <w:jc w:val="right"/>
      </w:pPr>
    </w:p>
    <w:p w:rsidR="002D0DB4" w:rsidRDefault="00F07D8E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2D0DB4" w:rsidRDefault="00F07D8E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2D0DB4" w:rsidRDefault="002D0DB4">
      <w:pPr>
        <w:jc w:val="center"/>
        <w:rPr>
          <w:sz w:val="28"/>
        </w:rPr>
      </w:pPr>
    </w:p>
    <w:p w:rsidR="002D0DB4" w:rsidRDefault="00F07D8E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2D0DB4" w:rsidRDefault="00F07D8E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МУЗЕЯ (МУЗЕЙНОГО ЦЕНТРА, ПОСТОЯННОЙ ВЫСТАВКИ)</w:t>
      </w:r>
      <w:r>
        <w:rPr>
          <w:sz w:val="28"/>
        </w:rPr>
        <w:t>,</w:t>
      </w:r>
    </w:p>
    <w:p w:rsidR="002D0DB4" w:rsidRDefault="00F07D8E">
      <w:pPr>
        <w:jc w:val="center"/>
        <w:rPr>
          <w:sz w:val="28"/>
        </w:rPr>
      </w:pPr>
      <w:proofErr w:type="gramStart"/>
      <w:r>
        <w:rPr>
          <w:sz w:val="28"/>
        </w:rPr>
        <w:t>представленного</w:t>
      </w:r>
      <w:proofErr w:type="gramEnd"/>
      <w:r>
        <w:rPr>
          <w:sz w:val="28"/>
        </w:rPr>
        <w:t xml:space="preserve"> на участие в конкурсе «Пожарная безопасность – 202</w:t>
      </w:r>
      <w:r w:rsidR="00666449">
        <w:rPr>
          <w:sz w:val="28"/>
        </w:rPr>
        <w:t>3</w:t>
      </w:r>
      <w:r>
        <w:rPr>
          <w:sz w:val="28"/>
        </w:rPr>
        <w:t xml:space="preserve">» </w:t>
      </w:r>
    </w:p>
    <w:p w:rsidR="002D0DB4" w:rsidRDefault="00F07D8E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культуры»</w:t>
      </w:r>
    </w:p>
    <w:p w:rsidR="002D0DB4" w:rsidRDefault="002D0DB4">
      <w:pPr>
        <w:jc w:val="center"/>
        <w:rPr>
          <w:sz w:val="28"/>
        </w:rPr>
      </w:pPr>
    </w:p>
    <w:p w:rsidR="002D0DB4" w:rsidRDefault="002D0DB4">
      <w:pPr>
        <w:jc w:val="center"/>
        <w:rPr>
          <w:sz w:val="28"/>
        </w:rPr>
      </w:pPr>
    </w:p>
    <w:p w:rsidR="002D0DB4" w:rsidRDefault="00F07D8E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2D0DB4" w:rsidRDefault="00F07D8E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F07D8E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Музей (музейный центр, постоянная выставка)»</w:t>
      </w:r>
      <w:r>
        <w:rPr>
          <w:sz w:val="28"/>
        </w:rPr>
        <w:t xml:space="preserve"> произвела «_____» _______________ 20____ года осмотр _____________________________________________________</w:t>
      </w:r>
    </w:p>
    <w:p w:rsidR="002D0DB4" w:rsidRDefault="00F07D8E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 культуры)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F07D8E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2D0DB4" w:rsidRDefault="00F07D8E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2D0DB4" w:rsidRDefault="00F07D8E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2D0DB4" w:rsidRDefault="002D0DB4">
      <w:pPr>
        <w:jc w:val="both"/>
        <w:rPr>
          <w:sz w:val="18"/>
        </w:rPr>
      </w:pPr>
    </w:p>
    <w:p w:rsidR="002D0DB4" w:rsidRDefault="002D0DB4">
      <w:pPr>
        <w:spacing w:line="360" w:lineRule="auto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2D0DB4" w:rsidRDefault="00F07D8E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F07D8E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B4" w:rsidRDefault="00F0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2D0DB4" w:rsidRDefault="00F07D8E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2D0DB4" w:rsidRDefault="00F0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2D0DB4" w:rsidRDefault="002D0DB4">
            <w:pPr>
              <w:jc w:val="center"/>
              <w:rPr>
                <w:sz w:val="20"/>
              </w:rPr>
            </w:pPr>
          </w:p>
          <w:p w:rsidR="002D0DB4" w:rsidRDefault="00F07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B4" w:rsidRDefault="00F07D8E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Приказом руководителя учреждения организована пожарно-техническая комиссия, в которую входят зам. директора, главный инженер (инженер), заведующий постановочной частью, заведующий </w:t>
            </w:r>
            <w:proofErr w:type="spellStart"/>
            <w:r>
              <w:rPr>
                <w:sz w:val="22"/>
              </w:rPr>
              <w:t>электроцехом</w:t>
            </w:r>
            <w:proofErr w:type="spellEnd"/>
            <w:r>
              <w:rPr>
                <w:sz w:val="22"/>
              </w:rPr>
              <w:t>, инженер-строитель (прораб), инженер по охране труда, начальник местной пожарной охраны и главный хранитель.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rPr>
                <w:sz w:val="28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DB4" w:rsidRDefault="00F07D8E">
            <w:pPr>
              <w:rPr>
                <w:rStyle w:val="af7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f7"/>
                <w:b w:val="0"/>
                <w:sz w:val="20"/>
              </w:rPr>
              <w:t xml:space="preserve">Федеральным законом </w:t>
            </w:r>
          </w:p>
          <w:p w:rsidR="002D0DB4" w:rsidRDefault="00F07D8E">
            <w:pPr>
              <w:rPr>
                <w:rStyle w:val="af7"/>
                <w:b w:val="0"/>
                <w:sz w:val="20"/>
              </w:rPr>
            </w:pPr>
            <w:r>
              <w:rPr>
                <w:rStyle w:val="af7"/>
                <w:b w:val="0"/>
                <w:sz w:val="20"/>
              </w:rPr>
              <w:t xml:space="preserve">от 06.05.2011 N 100-ФЗ </w:t>
            </w:r>
          </w:p>
          <w:p w:rsidR="002D0DB4" w:rsidRDefault="00F07D8E">
            <w:pPr>
              <w:rPr>
                <w:sz w:val="20"/>
              </w:rPr>
            </w:pPr>
            <w:r>
              <w:rPr>
                <w:rStyle w:val="af7"/>
                <w:b w:val="0"/>
                <w:sz w:val="20"/>
              </w:rPr>
              <w:t>"О добровольной пожарной охране"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2D0DB4" w:rsidRDefault="002D0DB4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e"/>
                <w:sz w:val="20"/>
              </w:rPr>
              <w:footnoteReference w:id="1"/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 (лиц),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обеспечена разработка плана эвакуации экспонатов и других ценностей из музея (музейного центра, постоянной выставки).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учреждения культуры обеспечено выполнение на объекте требований, предусмотренных статьей 6 Федерального закона "Об ограничении курения табака".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8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2D0DB4" w:rsidRDefault="00F07D8E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Все двери эвакуационных выходов открываются по ходу движения людей из помещений (зданий).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 путях эвакуации: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- отсутствуют турникеты и другие устройства, препятствующие свободному проходу;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- не загромождены площадки и марши лестничных клеток, отсутствуют зеркала, фальшивые двери, имеющие сходство с настоящими дверями;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двери выходов не закрываются  на замки и </w:t>
            </w:r>
            <w:proofErr w:type="spellStart"/>
            <w:r>
              <w:rPr>
                <w:sz w:val="22"/>
              </w:rPr>
              <w:t>труднооткрывающиеся</w:t>
            </w:r>
            <w:proofErr w:type="spellEnd"/>
            <w:r>
              <w:rPr>
                <w:sz w:val="22"/>
              </w:rPr>
              <w:t xml:space="preserve"> запоры при проведении мероприятий, за исключением специально предусмотренных </w:t>
            </w:r>
            <w:r>
              <w:rPr>
                <w:sz w:val="22"/>
              </w:rPr>
              <w:lastRenderedPageBreak/>
              <w:t>пунктов контроля доступа в музеях (музейных центрах, постоянных выставках).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Ковры и ковровые дорожки в выставочных и экспозиционных залах, фойе, вестибюлях и других помещениях с массовым пребыванием людей надежно крепятся к полу.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 экспозиционного и выставочного залов, а также яруса или балкона во всех случаях имеется не менее двух выходов. Количество и ширина выходов соответствуют расчету безопасной эвакуации людей.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В экспозиционной части музея (музейного центра, постоянной выставки) проходы между витринами и щитами шириной не менее 2 м, а главных проходов - не менее 3 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Выходы из подвалов помещений в зданиях музея (музейного центра, постоянной выставки), занятых под административно-хозяйственные помещения, обособлены от входов в экспозиционные залы и хранилища.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Здание (-я) музея (музейного центра, постоянной выставки) оборудованы </w:t>
            </w:r>
            <w:proofErr w:type="spellStart"/>
            <w:r>
              <w:rPr>
                <w:sz w:val="22"/>
              </w:rPr>
              <w:t>молниезащитными</w:t>
            </w:r>
            <w:proofErr w:type="spellEnd"/>
            <w:r>
              <w:rPr>
                <w:sz w:val="22"/>
              </w:rPr>
              <w:t xml:space="preserve"> устройствами в соответствии с требованиями СНиП.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2D0DB4" w:rsidRDefault="00F07D8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Территория музея (музейного центра, постоянной выставки) в ночное время освещается.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 хранилищах </w:t>
            </w:r>
            <w:hyperlink r:id="rId8" w:tooltip="Статья: Что гипермаркету хорошо, то книжному магазину – смерть" w:history="1">
              <w:r>
                <w:rPr>
                  <w:sz w:val="22"/>
                </w:rPr>
                <w:t>книжных</w:t>
              </w:r>
            </w:hyperlink>
            <w:r>
              <w:rPr>
                <w:sz w:val="22"/>
              </w:rPr>
              <w:t xml:space="preserve"> фондов музея (музейного центра, постоянной выставки) обеспечены проходы между стеллажами: главный проход - 1,2 м, рабочие - 0,75 м, а также боковые обходы между стеной и стеллажами - не менее чем по 0,5 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Стеллажи для хранения книг и фондов в музее (музейном центре, постоянной выставке) металлические.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Дверные проемы в несгораемых стенах хранилищ фондов, запасниках, реставрационных мастерских и пожароопасных помещениях музее (музейном центре, постоянной выставке) защищены самозакрывающимися противопожарными дверями.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В хранилищах музея (музейного центра, постоянной выставки) ширина главных проходов не менее 2,5 м, а расстояние между фондовым оборудованием - не менее 0,9 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В экспозиционных залах музея (музейного центра, постоянной выставки) все предметы хранения из органических материалов повышенной горючести (сухие растения, газовые ткани, изделия из пуха и т.п.), легко подверженные тлению, хранится в застекленных витринах и шкафах.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F07D8E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DB4" w:rsidRDefault="00F07D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  <w:tr w:rsidR="002D0DB4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D0DB4" w:rsidRDefault="00F07D8E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DB4" w:rsidRDefault="002D0DB4">
            <w:pPr>
              <w:rPr>
                <w:sz w:val="20"/>
              </w:rPr>
            </w:pPr>
          </w:p>
        </w:tc>
      </w:tr>
    </w:tbl>
    <w:p w:rsidR="002D0DB4" w:rsidRDefault="002D0DB4">
      <w:pPr>
        <w:jc w:val="center"/>
        <w:rPr>
          <w:sz w:val="28"/>
        </w:rPr>
      </w:pPr>
    </w:p>
    <w:p w:rsidR="002D0DB4" w:rsidRDefault="002D0DB4">
      <w:pPr>
        <w:jc w:val="both"/>
        <w:rPr>
          <w:sz w:val="28"/>
        </w:rPr>
      </w:pPr>
    </w:p>
    <w:p w:rsidR="006D4E71" w:rsidRDefault="006D4E71" w:rsidP="006D4E71">
      <w:pPr>
        <w:jc w:val="both"/>
        <w:rPr>
          <w:sz w:val="28"/>
        </w:rPr>
      </w:pPr>
      <w:r>
        <w:rPr>
          <w:sz w:val="28"/>
        </w:rPr>
        <w:lastRenderedPageBreak/>
        <w:t>Члены комиссии:    __________________                  ____________________________</w:t>
      </w:r>
    </w:p>
    <w:p w:rsidR="006D4E71" w:rsidRDefault="006D4E71" w:rsidP="006D4E71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6D4E71" w:rsidRDefault="006D4E71" w:rsidP="006D4E71">
      <w:pPr>
        <w:rPr>
          <w:sz w:val="28"/>
        </w:rPr>
      </w:pPr>
    </w:p>
    <w:p w:rsidR="006D4E71" w:rsidRDefault="006D4E71" w:rsidP="006D4E7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D4E71" w:rsidRDefault="006D4E71" w:rsidP="006D4E71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D4E71" w:rsidRDefault="006D4E71" w:rsidP="006D4E71">
      <w:pPr>
        <w:rPr>
          <w:sz w:val="28"/>
        </w:rPr>
      </w:pPr>
    </w:p>
    <w:p w:rsidR="006D4E71" w:rsidRDefault="006D4E71" w:rsidP="006D4E7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D4E71" w:rsidRDefault="006D4E71" w:rsidP="006D4E71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D4E71" w:rsidRDefault="006D4E71" w:rsidP="006D4E71">
      <w:pPr>
        <w:rPr>
          <w:sz w:val="28"/>
        </w:rPr>
      </w:pPr>
    </w:p>
    <w:p w:rsidR="006D4E71" w:rsidRDefault="006D4E71" w:rsidP="006D4E7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D4E71" w:rsidRDefault="006D4E71" w:rsidP="006D4E71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D4E71" w:rsidRDefault="006D4E71" w:rsidP="006D4E71">
      <w:pPr>
        <w:rPr>
          <w:sz w:val="28"/>
        </w:rPr>
      </w:pPr>
    </w:p>
    <w:p w:rsidR="006D4E71" w:rsidRDefault="006D4E71" w:rsidP="006D4E71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D4E71" w:rsidRDefault="006D4E71" w:rsidP="006D4E71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D4E71" w:rsidRDefault="006D4E71" w:rsidP="006D4E71">
      <w:pPr>
        <w:rPr>
          <w:sz w:val="28"/>
        </w:rPr>
      </w:pPr>
    </w:p>
    <w:p w:rsidR="006D4E71" w:rsidRDefault="006D4E71" w:rsidP="006D4E71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6D4E71" w:rsidRDefault="006D4E71" w:rsidP="006D4E71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6D4E71" w:rsidRDefault="006D4E71" w:rsidP="006D4E71">
      <w:pPr>
        <w:rPr>
          <w:sz w:val="28"/>
        </w:rPr>
      </w:pPr>
    </w:p>
    <w:p w:rsidR="006D4E71" w:rsidRDefault="006D4E71" w:rsidP="006D4E71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6D4E71" w:rsidRDefault="006D4E71" w:rsidP="006D4E71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D4E71" w:rsidRDefault="006D4E71" w:rsidP="006D4E71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D4E71" w:rsidRDefault="006D4E71" w:rsidP="006D4E71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2D0DB4" w:rsidRDefault="002D0DB4" w:rsidP="006D4E71">
      <w:pPr>
        <w:jc w:val="both"/>
        <w:rPr>
          <w:sz w:val="28"/>
        </w:rPr>
      </w:pPr>
      <w:bookmarkStart w:id="0" w:name="_GoBack"/>
      <w:bookmarkEnd w:id="0"/>
    </w:p>
    <w:sectPr w:rsidR="002D0DB4">
      <w:pgSz w:w="16838" w:h="11906"/>
      <w:pgMar w:top="567" w:right="567" w:bottom="851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299" w:rsidRDefault="00F46299">
      <w:r>
        <w:separator/>
      </w:r>
    </w:p>
  </w:endnote>
  <w:endnote w:type="continuationSeparator" w:id="0">
    <w:p w:rsidR="00F46299" w:rsidRDefault="00F4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299" w:rsidRDefault="00F46299">
      <w:r>
        <w:separator/>
      </w:r>
    </w:p>
  </w:footnote>
  <w:footnote w:type="continuationSeparator" w:id="0">
    <w:p w:rsidR="00F46299" w:rsidRDefault="00F46299">
      <w:r>
        <w:continuationSeparator/>
      </w:r>
    </w:p>
  </w:footnote>
  <w:footnote w:id="1">
    <w:p w:rsidR="002D0DB4" w:rsidRDefault="00F07D8E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35FC"/>
    <w:multiLevelType w:val="multilevel"/>
    <w:tmpl w:val="612402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DB4"/>
    <w:rsid w:val="002D0DB4"/>
    <w:rsid w:val="00666449"/>
    <w:rsid w:val="006D4E71"/>
    <w:rsid w:val="00F07D8E"/>
    <w:rsid w:val="00F4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a7">
    <w:name w:val="Знак"/>
    <w:basedOn w:val="a"/>
    <w:link w:val="a8"/>
    <w:rPr>
      <w:rFonts w:ascii="Verdana" w:hAnsi="Verdana"/>
      <w:sz w:val="20"/>
    </w:rPr>
  </w:style>
  <w:style w:type="character" w:customStyle="1" w:styleId="a8">
    <w:name w:val="Знак"/>
    <w:basedOn w:val="1"/>
    <w:link w:val="a7"/>
    <w:rPr>
      <w:rFonts w:ascii="Verdana" w:hAnsi="Verdan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9">
    <w:name w:val="Body Text"/>
    <w:basedOn w:val="a"/>
    <w:link w:val="aa"/>
    <w:pPr>
      <w:jc w:val="center"/>
    </w:pPr>
    <w:rPr>
      <w:b/>
      <w:caps/>
      <w:sz w:val="20"/>
    </w:rPr>
  </w:style>
  <w:style w:type="character" w:customStyle="1" w:styleId="aa">
    <w:name w:val="Основной текст Знак"/>
    <w:basedOn w:val="1"/>
    <w:link w:val="a9"/>
    <w:rPr>
      <w:b/>
      <w:caps/>
      <w:color w:val="000000"/>
      <w:sz w:val="20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c">
    <w:name w:val="Plain Text"/>
    <w:basedOn w:val="a"/>
    <w:link w:val="ad"/>
    <w:rPr>
      <w:rFonts w:ascii="Courier New" w:hAnsi="Courier New"/>
      <w:sz w:val="20"/>
    </w:rPr>
  </w:style>
  <w:style w:type="character" w:customStyle="1" w:styleId="ad">
    <w:name w:val="Текст Знак"/>
    <w:basedOn w:val="1"/>
    <w:link w:val="ac"/>
    <w:rPr>
      <w:rFonts w:ascii="Courier New" w:hAnsi="Courier New"/>
      <w:sz w:val="20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Знак сноски1"/>
    <w:link w:val="ae"/>
    <w:rPr>
      <w:vertAlign w:val="superscript"/>
    </w:rPr>
  </w:style>
  <w:style w:type="character" w:styleId="ae">
    <w:name w:val="footnote reference"/>
    <w:link w:val="16"/>
    <w:rPr>
      <w:vertAlign w:val="superscript"/>
    </w:rPr>
  </w:style>
  <w:style w:type="paragraph" w:customStyle="1" w:styleId="af">
    <w:name w:val="Знак"/>
    <w:basedOn w:val="a"/>
    <w:link w:val="af0"/>
    <w:rPr>
      <w:rFonts w:ascii="Verdana" w:hAnsi="Verdana"/>
      <w:sz w:val="20"/>
    </w:rPr>
  </w:style>
  <w:style w:type="character" w:customStyle="1" w:styleId="af0">
    <w:name w:val="Знак"/>
    <w:basedOn w:val="1"/>
    <w:link w:val="af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tekstob">
    <w:name w:val="tekstob"/>
    <w:basedOn w:val="a"/>
    <w:link w:val="tekstob0"/>
    <w:pPr>
      <w:spacing w:beforeAutospacing="1" w:afterAutospacing="1"/>
    </w:pPr>
  </w:style>
  <w:style w:type="character" w:customStyle="1" w:styleId="tekstob0">
    <w:name w:val="tekstob"/>
    <w:basedOn w:val="1"/>
    <w:link w:val="tekstob"/>
    <w:rPr>
      <w:sz w:val="24"/>
    </w:rPr>
  </w:style>
  <w:style w:type="paragraph" w:styleId="af1">
    <w:name w:val="Subtitle"/>
    <w:next w:val="a"/>
    <w:link w:val="af2"/>
    <w:uiPriority w:val="11"/>
    <w:qFormat/>
    <w:rPr>
      <w:rFonts w:ascii="XO Thames" w:hAnsi="XO Thames"/>
      <w:i/>
      <w:color w:val="616161"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color w:val="616161"/>
      <w:sz w:val="24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f3">
    <w:name w:val="Body Text Indent"/>
    <w:basedOn w:val="a"/>
    <w:link w:val="af4"/>
    <w:pPr>
      <w:spacing w:after="120"/>
      <w:ind w:left="283"/>
    </w:pPr>
  </w:style>
  <w:style w:type="character" w:customStyle="1" w:styleId="af4">
    <w:name w:val="Основной текст с отступом Знак"/>
    <w:basedOn w:val="1"/>
    <w:link w:val="af3"/>
    <w:rPr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5">
    <w:name w:val="Title"/>
    <w:basedOn w:val="a"/>
    <w:link w:val="af6"/>
    <w:uiPriority w:val="10"/>
    <w:qFormat/>
    <w:pPr>
      <w:jc w:val="center"/>
    </w:pPr>
    <w:rPr>
      <w:b/>
      <w:sz w:val="28"/>
    </w:rPr>
  </w:style>
  <w:style w:type="character" w:customStyle="1" w:styleId="af6">
    <w:name w:val="Название Знак"/>
    <w:basedOn w:val="1"/>
    <w:link w:val="af5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spelle">
    <w:name w:val="spelle"/>
    <w:basedOn w:val="12"/>
    <w:link w:val="spelle0"/>
  </w:style>
  <w:style w:type="character" w:customStyle="1" w:styleId="spelle0">
    <w:name w:val="spelle"/>
    <w:basedOn w:val="a0"/>
    <w:link w:val="spelle"/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17">
    <w:name w:val="Строгий1"/>
    <w:link w:val="af7"/>
    <w:rPr>
      <w:b/>
    </w:rPr>
  </w:style>
  <w:style w:type="character" w:styleId="af7">
    <w:name w:val="Strong"/>
    <w:link w:val="17"/>
    <w:rPr>
      <w:b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article/st619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2118</Words>
  <Characters>12075</Characters>
  <Application>Microsoft Office Word</Application>
  <DocSecurity>0</DocSecurity>
  <Lines>100</Lines>
  <Paragraphs>28</Paragraphs>
  <ScaleCrop>false</ScaleCrop>
  <Company/>
  <LinksUpToDate>false</LinksUpToDate>
  <CharactersWithSpaces>14165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2023-07-28T05:21:00Z</dcterms:created>
  <dcterms:modified xsi:type="dcterms:W3CDTF">2023-08-08T07:28:00Z</dcterms:modified>
</cp:coreProperties>
</file>