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4A0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359" w:type="dxa"/>
            <w:shd w:val="clear" w:color="auto" w:fill="auto"/>
          </w:tcPr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6025FD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77FE6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77FE6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  <w:p w:rsidR="00D001FE" w:rsidRPr="00B52B2F" w:rsidRDefault="00D001FE" w:rsidP="006025F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495CF4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495CF4" w:rsidRPr="00536394" w:rsidRDefault="00274649" w:rsidP="00EF42C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 w:cs="Times New Roman"/>
          <w:sz w:val="26"/>
          <w:szCs w:val="26"/>
        </w:rPr>
        <w:t>, необходимых для</w:t>
      </w:r>
      <w:r w:rsidR="0044515E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4B58F3" w:rsidRPr="004B58F3">
        <w:rPr>
          <w:rFonts w:ascii="Times New Roman" w:hAnsi="Times New Roman" w:cs="Times New Roman"/>
          <w:sz w:val="26"/>
          <w:szCs w:val="26"/>
        </w:rPr>
        <w:t xml:space="preserve"> </w:t>
      </w:r>
      <w:r w:rsidR="005B4D77" w:rsidRPr="005B4D77">
        <w:rPr>
          <w:rFonts w:ascii="Times New Roman" w:hAnsi="Times New Roman" w:cs="Times New Roman"/>
          <w:sz w:val="26"/>
          <w:szCs w:val="26"/>
        </w:rPr>
        <w:t>документации по планировке территории микрорайонов</w:t>
      </w:r>
      <w:r w:rsidR="0044515E">
        <w:rPr>
          <w:rFonts w:ascii="Times New Roman" w:hAnsi="Times New Roman" w:cs="Times New Roman"/>
          <w:sz w:val="26"/>
          <w:szCs w:val="26"/>
        </w:rPr>
        <w:t>,</w:t>
      </w:r>
      <w:r w:rsidR="005B4D77" w:rsidRPr="005B4D77">
        <w:rPr>
          <w:rFonts w:ascii="Times New Roman" w:hAnsi="Times New Roman" w:cs="Times New Roman"/>
          <w:sz w:val="26"/>
          <w:szCs w:val="26"/>
        </w:rPr>
        <w:t xml:space="preserve"> </w:t>
      </w:r>
      <w:r w:rsidR="005B4D77">
        <w:rPr>
          <w:rFonts w:ascii="Times New Roman" w:hAnsi="Times New Roman" w:cs="Times New Roman"/>
          <w:sz w:val="26"/>
          <w:szCs w:val="26"/>
        </w:rPr>
        <w:br/>
      </w:r>
      <w:r w:rsidR="005B4D77" w:rsidRPr="005B4D77">
        <w:rPr>
          <w:rFonts w:ascii="Times New Roman" w:hAnsi="Times New Roman" w:cs="Times New Roman"/>
          <w:sz w:val="26"/>
          <w:szCs w:val="26"/>
        </w:rPr>
        <w:t xml:space="preserve">ограниченных проектируемыми улицами в границах </w:t>
      </w:r>
      <w:r w:rsidR="005B4D77">
        <w:rPr>
          <w:rFonts w:ascii="Times New Roman" w:hAnsi="Times New Roman" w:cs="Times New Roman"/>
          <w:sz w:val="26"/>
          <w:szCs w:val="26"/>
        </w:rPr>
        <w:br/>
      </w:r>
      <w:r w:rsidR="005B4D77" w:rsidRPr="005B4D77">
        <w:rPr>
          <w:rFonts w:ascii="Times New Roman" w:hAnsi="Times New Roman" w:cs="Times New Roman"/>
          <w:sz w:val="26"/>
          <w:szCs w:val="26"/>
        </w:rPr>
        <w:t>кадастрового квартала 35:2</w:t>
      </w:r>
      <w:r w:rsidR="002B731F">
        <w:rPr>
          <w:rFonts w:ascii="Times New Roman" w:hAnsi="Times New Roman" w:cs="Times New Roman"/>
          <w:sz w:val="26"/>
          <w:szCs w:val="26"/>
        </w:rPr>
        <w:t>4</w:t>
      </w:r>
      <w:r w:rsidR="005B4D77" w:rsidRPr="005B4D77">
        <w:rPr>
          <w:rFonts w:ascii="Times New Roman" w:hAnsi="Times New Roman" w:cs="Times New Roman"/>
          <w:sz w:val="26"/>
          <w:szCs w:val="26"/>
        </w:rPr>
        <w:t xml:space="preserve">:0302008 </w:t>
      </w:r>
      <w:r w:rsidR="006F04C2" w:rsidRPr="006F04C2">
        <w:rPr>
          <w:rFonts w:ascii="Times New Roman" w:hAnsi="Times New Roman" w:cs="Times New Roman"/>
          <w:sz w:val="26"/>
          <w:szCs w:val="26"/>
        </w:rPr>
        <w:t>в городе Вологде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274649" w:rsidRPr="00274649" w:rsidRDefault="005B4D77" w:rsidP="00A51B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B4D77">
              <w:rPr>
                <w:rFonts w:ascii="Times New Roman" w:hAnsi="Times New Roman" w:cs="Times New Roman"/>
                <w:sz w:val="26"/>
                <w:szCs w:val="26"/>
              </w:rPr>
              <w:t>окументаци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4D77">
              <w:rPr>
                <w:rFonts w:ascii="Times New Roman" w:hAnsi="Times New Roman" w:cs="Times New Roman"/>
                <w:sz w:val="26"/>
                <w:szCs w:val="26"/>
              </w:rPr>
              <w:t xml:space="preserve"> по планировке территории микрорайонов</w:t>
            </w:r>
            <w:r w:rsidR="004451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B4D77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ограниченных проектируемыми улицами в границах кадастрового квартала 35:2</w:t>
            </w:r>
            <w:r w:rsidR="00A51B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B4D77">
              <w:rPr>
                <w:rFonts w:ascii="Times New Roman" w:hAnsi="Times New Roman" w:cs="Times New Roman"/>
                <w:sz w:val="26"/>
                <w:szCs w:val="26"/>
              </w:rPr>
              <w:t xml:space="preserve">:0302008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F04C2" w:rsidRPr="006F04C2">
              <w:rPr>
                <w:rFonts w:ascii="Times New Roman" w:hAnsi="Times New Roman" w:cs="Times New Roman"/>
                <w:sz w:val="26"/>
                <w:szCs w:val="26"/>
              </w:rPr>
              <w:t>в городе Вологде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74649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274649" w:rsidRDefault="00F84AD4" w:rsidP="00A51B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4AD4">
              <w:rPr>
                <w:rFonts w:ascii="Times New Roman" w:hAnsi="Times New Roman" w:cs="Times New Roman"/>
                <w:sz w:val="26"/>
                <w:szCs w:val="26"/>
              </w:rPr>
              <w:t xml:space="preserve">Россия, Вологодская область, г. Вологда, </w:t>
            </w:r>
            <w:r w:rsidR="00F93D0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62866" w:rsidRPr="00B62866">
              <w:rPr>
                <w:rFonts w:ascii="Times New Roman" w:hAnsi="Times New Roman" w:cs="Times New Roman"/>
                <w:sz w:val="26"/>
                <w:szCs w:val="26"/>
              </w:rPr>
              <w:t xml:space="preserve">адастровый квартал </w:t>
            </w:r>
            <w:r w:rsidR="00F93D07">
              <w:rPr>
                <w:rFonts w:ascii="Times New Roman" w:hAnsi="Times New Roman" w:cs="Times New Roman"/>
                <w:sz w:val="26"/>
                <w:szCs w:val="26"/>
              </w:rPr>
              <w:t>35:2</w:t>
            </w:r>
            <w:r w:rsidR="00A51B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F93D07">
              <w:rPr>
                <w:rFonts w:ascii="Times New Roman" w:hAnsi="Times New Roman" w:cs="Times New Roman"/>
                <w:sz w:val="26"/>
                <w:szCs w:val="26"/>
              </w:rPr>
              <w:t xml:space="preserve">:0302008. </w:t>
            </w:r>
            <w:r w:rsidR="005C7E44" w:rsidRPr="005C7E44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Ориентировочная площадь в границах планировочного элемента </w:t>
            </w:r>
            <w:r w:rsidR="00F93D0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C7E44" w:rsidRPr="005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D07" w:rsidRPr="00F54B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4B94" w:rsidRPr="00F54B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3D07" w:rsidRPr="00F54B9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5C7E44" w:rsidRPr="00F54B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</w:tr>
      <w:tr w:rsidR="00885E92" w:rsidRPr="005C7E44" w:rsidTr="003073C1">
        <w:tc>
          <w:tcPr>
            <w:tcW w:w="552" w:type="dxa"/>
          </w:tcPr>
          <w:p w:rsidR="00885E92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5E9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Инициатор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подготовки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-2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F93D07" w:rsidRPr="00F93D07" w:rsidRDefault="00F93D07" w:rsidP="00F93D07">
            <w:pPr>
              <w:pStyle w:val="ConsPlusNormal"/>
              <w:ind w:left="80"/>
              <w:rPr>
                <w:sz w:val="26"/>
                <w:szCs w:val="26"/>
              </w:rPr>
            </w:pPr>
            <w:r w:rsidRPr="00F93D07">
              <w:rPr>
                <w:sz w:val="26"/>
                <w:szCs w:val="26"/>
              </w:rPr>
              <w:t>Некрасов Алексей Викторович</w:t>
            </w:r>
          </w:p>
          <w:p w:rsidR="008F5A76" w:rsidRPr="00F93D07" w:rsidRDefault="00F35314" w:rsidP="00F93D07">
            <w:pPr>
              <w:pStyle w:val="ConsPlusNormal"/>
              <w:ind w:left="80"/>
              <w:rPr>
                <w:sz w:val="26"/>
                <w:szCs w:val="26"/>
              </w:rPr>
            </w:pPr>
            <w:r w:rsidRPr="00F35314">
              <w:rPr>
                <w:sz w:val="26"/>
                <w:szCs w:val="26"/>
              </w:rPr>
              <w:t>(информация об инициаторе содержится в приложении к настоящему заданию)</w:t>
            </w:r>
          </w:p>
        </w:tc>
      </w:tr>
      <w:tr w:rsidR="00885E92" w:rsidRPr="00D001FE" w:rsidTr="003073C1">
        <w:tc>
          <w:tcPr>
            <w:tcW w:w="552" w:type="dxa"/>
          </w:tcPr>
          <w:p w:rsidR="00885E92" w:rsidRPr="00D001FE" w:rsidRDefault="00885E92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Источник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финансирования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работ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подготовке</w:t>
            </w:r>
            <w:r w:rsidRPr="00D001FE">
              <w:rPr>
                <w:spacing w:val="-14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5C7E44" w:rsidRDefault="009450A5" w:rsidP="005C7E44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</w:t>
            </w:r>
            <w:r w:rsidR="00F93D07">
              <w:rPr>
                <w:sz w:val="26"/>
                <w:szCs w:val="26"/>
              </w:rPr>
              <w:t xml:space="preserve"> инициатора</w:t>
            </w:r>
          </w:p>
          <w:p w:rsidR="00885E92" w:rsidRPr="00D001FE" w:rsidRDefault="00F93D07" w:rsidP="00F35314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F93D07">
              <w:rPr>
                <w:sz w:val="26"/>
                <w:szCs w:val="26"/>
              </w:rPr>
              <w:t>Некрасов</w:t>
            </w:r>
            <w:r>
              <w:rPr>
                <w:sz w:val="26"/>
                <w:szCs w:val="26"/>
              </w:rPr>
              <w:t>а</w:t>
            </w:r>
            <w:r w:rsidRPr="00F93D07">
              <w:rPr>
                <w:sz w:val="26"/>
                <w:szCs w:val="26"/>
              </w:rPr>
              <w:t xml:space="preserve"> Алексе</w:t>
            </w:r>
            <w:r>
              <w:rPr>
                <w:sz w:val="26"/>
                <w:szCs w:val="26"/>
              </w:rPr>
              <w:t xml:space="preserve">я </w:t>
            </w:r>
            <w:r w:rsidRPr="00F93D07">
              <w:rPr>
                <w:sz w:val="26"/>
                <w:szCs w:val="26"/>
              </w:rPr>
              <w:t>Викторович</w:t>
            </w:r>
            <w:r>
              <w:rPr>
                <w:sz w:val="26"/>
                <w:szCs w:val="26"/>
              </w:rPr>
              <w:t>а</w:t>
            </w:r>
            <w:r w:rsidR="00F35314">
              <w:rPr>
                <w:sz w:val="26"/>
                <w:szCs w:val="26"/>
              </w:rPr>
              <w:t xml:space="preserve"> 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Вид изысканий,</w:t>
            </w:r>
            <w:r w:rsidRPr="0097275D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C53B80" w:rsidRDefault="00C53B80" w:rsidP="0044515E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B80" w:rsidRPr="00C53B80" w:rsidRDefault="00C53B80" w:rsidP="0044515E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74649" w:rsidRPr="00C53B80" w:rsidRDefault="00C53B80" w:rsidP="0044515E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Инженерно-метеорологические и инженерно-экологические изыскания в составе  инженерно-геодезических и инженерно-геологических 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274649" w:rsidRPr="00274649" w:rsidRDefault="006F43C0" w:rsidP="0044515E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Получение сведений о природных условиях территории, изысканий необходимых и достаточных для принятия решений о функциональном назначении территорий, в целях обеспечения их устойчивого развития, сохранения окружающей среды, создания условий для привлечения инвестиций, </w:t>
            </w: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выделения элементов планировочн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ой структуры </w:t>
            </w: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зон планируемого размещения объектов, защиты территорий от чрезвычайных сит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уаций природного и техногенного </w:t>
            </w: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характера и составления прогноза изменения природных условий, необходимых для планировки территории. Выполнение комплекса инженерн</w:t>
            </w:r>
            <w:r w:rsidR="0074581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ых</w:t>
            </w: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74581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изысканий</w:t>
            </w:r>
            <w:r w:rsidRP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объеме, достаточном для разработки проекта планировки территории. Получение отчетов по результатам инженерно-геодезических, геологических, экологических и климатических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создание инженерно-топографического плана масштаба 1:500 с сечением рельефа 0,5 м, совмещенного с планом подземных конструкций и коммуникаций;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согласование местоположения, залегания, диаметров и других характеристик инженерных коммуникаций с эксплуатирующими службами;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составление технического отчета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буровые работы;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расстояние между горными выработками по трассе или на площадке строительства выполнить в соответствии с требованиями СП 11-105-97;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границ залегания грунтов, путем описания в буровом журнале. Обязательное ведение бурового журнала с заполнение всех граф;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уровней грунтовых вод, путем замера УГВ в процессе бурения.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на участках распространение специфических грунтов, развития опасных геологических процессов, глубину горных выработок определить в соответствии с требованиями СП 11-105-97;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выполнение меропри</w:t>
            </w:r>
            <w:r w:rsidR="009450A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ятий по выявлению специфических свойств грунтов (плывунность, карст, суффозия,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просадочность и др.);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- плановая и высотная разбивка и привязка инженерно-геологических выработок;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выполнение лабораторных работ в испытательной грунтовой лаборатории;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составление технического отчета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сбор имеющихся материалов о природных условия района (площадки) для их обобщения и анализа;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маршрутные инженерно-экологические наблюдения на площадке объекта строительства;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геоэкологическое опробование компонентов окружающей среды;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исследование </w:t>
            </w:r>
            <w:r w:rsidR="0044515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оценка радиационной обстановки;</w:t>
            </w:r>
          </w:p>
          <w:p w:rsidR="0023482B" w:rsidRPr="0023482B" w:rsidRDefault="0023482B" w:rsidP="00D70B23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исследование вредных физических воздействий (электромагнитного излучения, шума, вибрации)</w:t>
            </w:r>
          </w:p>
          <w:p w:rsidR="00274649" w:rsidRDefault="0043305B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482B"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технического отчета</w:t>
            </w:r>
          </w:p>
          <w:p w:rsidR="004B58F3" w:rsidRPr="004B58F3" w:rsidRDefault="004B58F3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B58F3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идрометеорологические изыскания:</w:t>
            </w:r>
          </w:p>
          <w:p w:rsidR="004B58F3" w:rsidRPr="004B58F3" w:rsidRDefault="004B58F3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Инженерно-гидрометеорологические изыскания выполняются</w:t>
            </w:r>
          </w:p>
          <w:p w:rsidR="004B58F3" w:rsidRPr="004B58F3" w:rsidRDefault="009450A5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="004B58F3"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комплексного изучения гидрометеорологических условий</w:t>
            </w:r>
          </w:p>
          <w:p w:rsidR="004B58F3" w:rsidRPr="004B58F3" w:rsidRDefault="004B58F3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 (района, пло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щадки, участка, трассы) и (или)</w:t>
            </w:r>
            <w:r w:rsidR="0043305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акватории намечаемого строительства, с целью получения</w:t>
            </w:r>
          </w:p>
          <w:p w:rsidR="004B58F3" w:rsidRPr="00274649" w:rsidRDefault="004B58F3" w:rsidP="0044515E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необходимых и достаточн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ых материалов для обоснования и </w:t>
            </w: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подготовки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документов при различных видах </w:t>
            </w:r>
            <w:r w:rsidRPr="004B58F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градостроительной деятельности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495CF4" w:rsidRDefault="00274649" w:rsidP="00D70B23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274649" w:rsidRPr="00495CF4" w:rsidRDefault="00274649" w:rsidP="00D70B23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74649" w:rsidRPr="00495CF4" w:rsidRDefault="00274649" w:rsidP="00D70B23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307928329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74649" w:rsidRPr="00495CF4" w:rsidRDefault="00274649" w:rsidP="00D70B2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СП 11-104-97 «Система нормативных документов в строительстве. Инженерно-геодезические изыскания для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строительства»; 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11-105-97 «Инженерно-геологические изыскания для строительства»;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 131.13330.2020 «Свод правил. Строительная климатология. </w:t>
            </w:r>
            <w:r w:rsidR="008A0D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СНиП 23-01-99*»;</w:t>
            </w:r>
          </w:p>
          <w:p w:rsidR="00274649" w:rsidRPr="00495CF4" w:rsidRDefault="00274649" w:rsidP="00D70B23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приказ Минстроя России от 25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8A0D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№739/пр «Об</w:t>
            </w:r>
            <w:r w:rsidR="00495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274649" w:rsidRPr="00274649" w:rsidRDefault="00274649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иных нормативных правовых актов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ссийской Федерации, Вологодской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области и </w:t>
            </w:r>
            <w:r w:rsidR="00D70B2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города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Вологды.</w:t>
            </w:r>
          </w:p>
        </w:tc>
      </w:tr>
      <w:tr w:rsidR="00274649" w:rsidRPr="00D001FE" w:rsidTr="0023482B">
        <w:trPr>
          <w:trHeight w:val="1193"/>
        </w:trPr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Обеспечить отображение современного экологического состояния окружающей природной среды по компонентам. Выполнить покомпонентный анализ и комплексную оценку экологического риска, в том числе: качественные, количественный 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рекомендации и предложен</w:t>
            </w:r>
            <w:r w:rsidR="00D70B2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ия по предотвращению и снижению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неблагоприятных последствий, восстановлению и оздоровлению природной среды.</w:t>
            </w:r>
          </w:p>
          <w:p w:rsidR="0023482B" w:rsidRPr="0023482B" w:rsidRDefault="0023482B" w:rsidP="00D70B23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 документации определяется нормативными документами, </w:t>
            </w:r>
            <w:r w:rsidR="006F43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3D0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действующими 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момент выполнения работ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74649" w:rsidRPr="0097275D" w:rsidRDefault="00274649" w:rsidP="00D70B23">
            <w:pPr>
              <w:tabs>
                <w:tab w:val="left" w:pos="342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274649" w:rsidRPr="0097275D" w:rsidRDefault="00274649" w:rsidP="00D70B2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- форматы векторных данных: AutoCAD </w:t>
            </w:r>
            <w:r w:rsidRPr="00972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(.dwg)  должен поддерживаться всеми версиями AutoCAD, 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274649" w:rsidRDefault="00274649" w:rsidP="00D70B2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основной, сопроводительной, дополняющей документации: *.doc, *.xls, *.pdf.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B22C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29" w:rsidRDefault="00D11B29" w:rsidP="00B22C89">
      <w:pPr>
        <w:spacing w:after="0" w:line="240" w:lineRule="auto"/>
      </w:pPr>
      <w:r>
        <w:separator/>
      </w:r>
    </w:p>
  </w:endnote>
  <w:endnote w:type="continuationSeparator" w:id="1">
    <w:p w:rsidR="00D11B29" w:rsidRDefault="00D11B29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29" w:rsidRDefault="00D11B29" w:rsidP="00B22C89">
      <w:pPr>
        <w:spacing w:after="0" w:line="240" w:lineRule="auto"/>
      </w:pPr>
      <w:r>
        <w:separator/>
      </w:r>
    </w:p>
  </w:footnote>
  <w:footnote w:type="continuationSeparator" w:id="1">
    <w:p w:rsidR="00D11B29" w:rsidRDefault="00D11B29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821442"/>
      <w:docPartObj>
        <w:docPartGallery w:val="Page Numbers (Top of Page)"/>
        <w:docPartUnique/>
      </w:docPartObj>
    </w:sdtPr>
    <w:sdtContent>
      <w:p w:rsidR="005C7E44" w:rsidRDefault="001D7FA4">
        <w:pPr>
          <w:pStyle w:val="ad"/>
          <w:jc w:val="center"/>
        </w:pPr>
        <w:r>
          <w:fldChar w:fldCharType="begin"/>
        </w:r>
        <w:r w:rsidR="005C7E44">
          <w:instrText>PAGE   \* MERGEFORMAT</w:instrText>
        </w:r>
        <w:r>
          <w:fldChar w:fldCharType="separate"/>
        </w:r>
        <w:r w:rsidR="00E77FE6">
          <w:rPr>
            <w:noProof/>
          </w:rPr>
          <w:t>5</w:t>
        </w:r>
        <w:r>
          <w:fldChar w:fldCharType="end"/>
        </w:r>
      </w:p>
    </w:sdtContent>
  </w:sdt>
  <w:p w:rsidR="005C7E44" w:rsidRDefault="005C7E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DB"/>
    <w:rsid w:val="00016DF8"/>
    <w:rsid w:val="00116652"/>
    <w:rsid w:val="001204E2"/>
    <w:rsid w:val="00143FDC"/>
    <w:rsid w:val="00152BAA"/>
    <w:rsid w:val="00180D8B"/>
    <w:rsid w:val="001C05BA"/>
    <w:rsid w:val="001C0B95"/>
    <w:rsid w:val="001D7FA4"/>
    <w:rsid w:val="001F16B5"/>
    <w:rsid w:val="0023078A"/>
    <w:rsid w:val="0023482B"/>
    <w:rsid w:val="00253653"/>
    <w:rsid w:val="00274649"/>
    <w:rsid w:val="002B731F"/>
    <w:rsid w:val="003073C1"/>
    <w:rsid w:val="003215CF"/>
    <w:rsid w:val="00323EA1"/>
    <w:rsid w:val="00377A23"/>
    <w:rsid w:val="003C6967"/>
    <w:rsid w:val="003C6E9A"/>
    <w:rsid w:val="003D7EC9"/>
    <w:rsid w:val="00407525"/>
    <w:rsid w:val="00430ADA"/>
    <w:rsid w:val="0043305B"/>
    <w:rsid w:val="0044515E"/>
    <w:rsid w:val="00456018"/>
    <w:rsid w:val="00495CF4"/>
    <w:rsid w:val="004B58F3"/>
    <w:rsid w:val="005337FC"/>
    <w:rsid w:val="00536394"/>
    <w:rsid w:val="0057570B"/>
    <w:rsid w:val="005968EA"/>
    <w:rsid w:val="005B4D77"/>
    <w:rsid w:val="005C7E44"/>
    <w:rsid w:val="006025FD"/>
    <w:rsid w:val="0062154A"/>
    <w:rsid w:val="006246DD"/>
    <w:rsid w:val="00643294"/>
    <w:rsid w:val="006634C8"/>
    <w:rsid w:val="006C6FDF"/>
    <w:rsid w:val="006D2976"/>
    <w:rsid w:val="006D7F93"/>
    <w:rsid w:val="006E189C"/>
    <w:rsid w:val="006F04C2"/>
    <w:rsid w:val="006F43C0"/>
    <w:rsid w:val="007057B4"/>
    <w:rsid w:val="00715FE0"/>
    <w:rsid w:val="00742A05"/>
    <w:rsid w:val="0074581E"/>
    <w:rsid w:val="007715AA"/>
    <w:rsid w:val="007B1EFE"/>
    <w:rsid w:val="00805C6A"/>
    <w:rsid w:val="00806DB4"/>
    <w:rsid w:val="00830FF1"/>
    <w:rsid w:val="008459BF"/>
    <w:rsid w:val="00885E92"/>
    <w:rsid w:val="008A0DA3"/>
    <w:rsid w:val="008B53D2"/>
    <w:rsid w:val="008F5A76"/>
    <w:rsid w:val="009450A5"/>
    <w:rsid w:val="00983DDC"/>
    <w:rsid w:val="00992BF8"/>
    <w:rsid w:val="00A51BC8"/>
    <w:rsid w:val="00A9787E"/>
    <w:rsid w:val="00AA52F4"/>
    <w:rsid w:val="00AC69F7"/>
    <w:rsid w:val="00AD3328"/>
    <w:rsid w:val="00B22C89"/>
    <w:rsid w:val="00B231C4"/>
    <w:rsid w:val="00B62866"/>
    <w:rsid w:val="00C227E5"/>
    <w:rsid w:val="00C46C03"/>
    <w:rsid w:val="00C53B80"/>
    <w:rsid w:val="00C912EE"/>
    <w:rsid w:val="00CA72B9"/>
    <w:rsid w:val="00CD66F6"/>
    <w:rsid w:val="00CF7A55"/>
    <w:rsid w:val="00D001FE"/>
    <w:rsid w:val="00D11B29"/>
    <w:rsid w:val="00D32B4B"/>
    <w:rsid w:val="00D70B23"/>
    <w:rsid w:val="00D85C04"/>
    <w:rsid w:val="00E03EFD"/>
    <w:rsid w:val="00E116A6"/>
    <w:rsid w:val="00E77FE6"/>
    <w:rsid w:val="00ED38BE"/>
    <w:rsid w:val="00ED7CFE"/>
    <w:rsid w:val="00EF42C3"/>
    <w:rsid w:val="00F35314"/>
    <w:rsid w:val="00F54B94"/>
    <w:rsid w:val="00F82695"/>
    <w:rsid w:val="00F84AD4"/>
    <w:rsid w:val="00F86501"/>
    <w:rsid w:val="00F93D07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Leushina_NB</cp:lastModifiedBy>
  <cp:revision>6</cp:revision>
  <cp:lastPrinted>2024-12-25T06:58:00Z</cp:lastPrinted>
  <dcterms:created xsi:type="dcterms:W3CDTF">2025-04-29T08:11:00Z</dcterms:created>
  <dcterms:modified xsi:type="dcterms:W3CDTF">2025-05-12T11:39:00Z</dcterms:modified>
</cp:coreProperties>
</file>