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427BD9" w:rsidRPr="001E2D63" w:rsidRDefault="00427BD9" w:rsidP="00427BD9">
      <w:pPr>
        <w:autoSpaceDE w:val="0"/>
        <w:autoSpaceDN w:val="0"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внесении </w:t>
      </w:r>
      <w:r w:rsidRPr="004B74C0">
        <w:rPr>
          <w:b/>
          <w:bCs/>
          <w:sz w:val="26"/>
          <w:szCs w:val="26"/>
        </w:rPr>
        <w:t>изменени</w:t>
      </w:r>
      <w:r>
        <w:rPr>
          <w:b/>
          <w:bCs/>
          <w:sz w:val="26"/>
          <w:szCs w:val="26"/>
        </w:rPr>
        <w:t>й</w:t>
      </w:r>
      <w:r w:rsidRPr="004B74C0">
        <w:rPr>
          <w:b/>
          <w:bCs/>
          <w:sz w:val="26"/>
          <w:szCs w:val="26"/>
        </w:rPr>
        <w:t xml:space="preserve"> в </w:t>
      </w:r>
      <w:r w:rsidRPr="001E2D63">
        <w:rPr>
          <w:b/>
          <w:bCs/>
          <w:sz w:val="26"/>
          <w:szCs w:val="26"/>
        </w:rPr>
        <w:t>постановление Администрации</w:t>
      </w:r>
    </w:p>
    <w:p w:rsidR="00427BD9" w:rsidRPr="001E2D63" w:rsidRDefault="00427BD9" w:rsidP="00427BD9">
      <w:pPr>
        <w:autoSpaceDE w:val="0"/>
        <w:autoSpaceDN w:val="0"/>
        <w:jc w:val="center"/>
        <w:rPr>
          <w:b/>
          <w:bCs/>
          <w:sz w:val="26"/>
          <w:szCs w:val="26"/>
        </w:rPr>
      </w:pPr>
      <w:r w:rsidRPr="001E2D63">
        <w:rPr>
          <w:b/>
          <w:bCs/>
          <w:sz w:val="26"/>
          <w:szCs w:val="26"/>
        </w:rPr>
        <w:t xml:space="preserve">города Вологды </w:t>
      </w:r>
      <w:r w:rsidRPr="002D667F">
        <w:rPr>
          <w:b/>
          <w:bCs/>
          <w:sz w:val="26"/>
          <w:szCs w:val="26"/>
        </w:rPr>
        <w:t>от 11 ноября 2019 г</w:t>
      </w:r>
      <w:r>
        <w:rPr>
          <w:b/>
          <w:bCs/>
          <w:sz w:val="26"/>
          <w:szCs w:val="26"/>
        </w:rPr>
        <w:t>ода</w:t>
      </w:r>
      <w:r w:rsidRPr="002D667F">
        <w:rPr>
          <w:b/>
          <w:bCs/>
          <w:sz w:val="26"/>
          <w:szCs w:val="26"/>
        </w:rPr>
        <w:t xml:space="preserve"> № 1569</w:t>
      </w:r>
    </w:p>
    <w:p w:rsidR="00C45A12" w:rsidRDefault="00C45A12" w:rsidP="00C45A12">
      <w:pPr>
        <w:jc w:val="center"/>
        <w:rPr>
          <w:b/>
          <w:sz w:val="26"/>
          <w:szCs w:val="26"/>
        </w:rPr>
      </w:pPr>
    </w:p>
    <w:p w:rsidR="00C45A12" w:rsidRDefault="00C45A12" w:rsidP="00C45A12">
      <w:pPr>
        <w:jc w:val="center"/>
        <w:rPr>
          <w:b/>
          <w:sz w:val="26"/>
          <w:szCs w:val="26"/>
        </w:rPr>
      </w:pPr>
    </w:p>
    <w:p w:rsidR="00C45A12" w:rsidRPr="00C45A12" w:rsidRDefault="00C45A12" w:rsidP="00C45A12">
      <w:pPr>
        <w:pStyle w:val="3"/>
        <w:keepNext w:val="0"/>
        <w:widowControl w:val="0"/>
        <w:tabs>
          <w:tab w:val="left" w:pos="993"/>
        </w:tabs>
        <w:spacing w:before="0" w:line="348" w:lineRule="auto"/>
        <w:ind w:firstLine="709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</w:pPr>
      <w:r w:rsidRPr="00C45A12">
        <w:rPr>
          <w:rFonts w:ascii="Times New Roman" w:eastAsia="Times New Roman" w:hAnsi="Times New Roman" w:cs="Times New Roman"/>
          <w:b w:val="0"/>
          <w:bCs w:val="0"/>
          <w:color w:val="auto"/>
          <w:sz w:val="26"/>
          <w:szCs w:val="26"/>
        </w:rPr>
        <w:t>На основании статей 27, 44 Устава городского округа города Вологды ПОСТАНОВЛЯЮ:</w:t>
      </w:r>
    </w:p>
    <w:p w:rsidR="00427BD9" w:rsidRPr="002A57C5" w:rsidRDefault="00427BD9" w:rsidP="00427BD9">
      <w:pPr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7A46BE">
        <w:rPr>
          <w:sz w:val="26"/>
          <w:szCs w:val="26"/>
        </w:rPr>
        <w:t xml:space="preserve">Внести в Положение об инвестиционной деятельности на территории городского округа города Вологды, утвержденное постановлением Администрации города </w:t>
      </w:r>
      <w:r w:rsidRPr="002A57C5">
        <w:rPr>
          <w:sz w:val="26"/>
          <w:szCs w:val="26"/>
        </w:rPr>
        <w:t>Вологды от 11 ноября 2019 года № 1569 (с последующим</w:t>
      </w:r>
      <w:r>
        <w:rPr>
          <w:sz w:val="26"/>
          <w:szCs w:val="26"/>
        </w:rPr>
        <w:t>и изменения</w:t>
      </w:r>
      <w:r w:rsidRPr="002A57C5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Pr="002A57C5">
        <w:rPr>
          <w:sz w:val="26"/>
          <w:szCs w:val="26"/>
        </w:rPr>
        <w:t>), следующие изменения:</w:t>
      </w:r>
    </w:p>
    <w:p w:rsidR="00427BD9" w:rsidRPr="0084116C" w:rsidRDefault="00427BD9" w:rsidP="00427BD9">
      <w:pPr>
        <w:numPr>
          <w:ilvl w:val="1"/>
          <w:numId w:val="3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84116C">
        <w:rPr>
          <w:sz w:val="26"/>
          <w:szCs w:val="26"/>
        </w:rPr>
        <w:t xml:space="preserve">В разделе 4: </w:t>
      </w:r>
    </w:p>
    <w:p w:rsidR="0084116C" w:rsidRPr="00754FC5" w:rsidRDefault="0084116C" w:rsidP="00D63C65">
      <w:pPr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754FC5">
        <w:rPr>
          <w:sz w:val="26"/>
          <w:szCs w:val="26"/>
        </w:rPr>
        <w:t>А</w:t>
      </w:r>
      <w:r w:rsidR="00427BD9" w:rsidRPr="00754FC5">
        <w:rPr>
          <w:sz w:val="26"/>
          <w:szCs w:val="26"/>
        </w:rPr>
        <w:t xml:space="preserve">бзац </w:t>
      </w:r>
      <w:r w:rsidRPr="00754FC5">
        <w:rPr>
          <w:sz w:val="26"/>
          <w:szCs w:val="26"/>
        </w:rPr>
        <w:t>третий</w:t>
      </w:r>
      <w:r w:rsidR="00427BD9" w:rsidRPr="00754FC5">
        <w:rPr>
          <w:sz w:val="26"/>
          <w:szCs w:val="26"/>
        </w:rPr>
        <w:t xml:space="preserve"> пункта 4.2 </w:t>
      </w:r>
      <w:r w:rsidRPr="00754FC5">
        <w:rPr>
          <w:sz w:val="26"/>
          <w:szCs w:val="26"/>
        </w:rPr>
        <w:t>изложить в следующей редакции:</w:t>
      </w:r>
    </w:p>
    <w:p w:rsidR="00325EE4" w:rsidRPr="00754FC5" w:rsidRDefault="0084116C" w:rsidP="00D63C65">
      <w:pPr>
        <w:spacing w:line="360" w:lineRule="auto"/>
        <w:ind w:firstLine="709"/>
        <w:jc w:val="both"/>
        <w:rPr>
          <w:sz w:val="26"/>
          <w:szCs w:val="26"/>
        </w:rPr>
      </w:pPr>
      <w:r w:rsidRPr="00754FC5">
        <w:rPr>
          <w:sz w:val="26"/>
          <w:szCs w:val="26"/>
        </w:rPr>
        <w:t>«инвестиционный проект предусматривает капитальные вложения</w:t>
      </w:r>
      <w:r w:rsidR="00325EE4" w:rsidRPr="00754FC5">
        <w:rPr>
          <w:sz w:val="26"/>
          <w:szCs w:val="26"/>
        </w:rPr>
        <w:t>:</w:t>
      </w:r>
      <w:r w:rsidRPr="00754FC5">
        <w:rPr>
          <w:sz w:val="26"/>
          <w:szCs w:val="26"/>
        </w:rPr>
        <w:t xml:space="preserve"> </w:t>
      </w:r>
    </w:p>
    <w:p w:rsidR="00325EE4" w:rsidRPr="00754FC5" w:rsidRDefault="0084116C" w:rsidP="00D63C65">
      <w:pPr>
        <w:spacing w:line="360" w:lineRule="auto"/>
        <w:ind w:firstLine="709"/>
        <w:jc w:val="both"/>
        <w:rPr>
          <w:sz w:val="26"/>
          <w:szCs w:val="26"/>
        </w:rPr>
      </w:pPr>
      <w:r w:rsidRPr="00754FC5">
        <w:rPr>
          <w:sz w:val="26"/>
          <w:szCs w:val="26"/>
        </w:rPr>
        <w:t>в объект производственной деятельности стоимостью более 100 миллионов рублей и (или) создание более 100 рабочих мест</w:t>
      </w:r>
      <w:r w:rsidR="00D63C65" w:rsidRPr="00754FC5">
        <w:rPr>
          <w:sz w:val="26"/>
          <w:szCs w:val="26"/>
        </w:rPr>
        <w:t>;</w:t>
      </w:r>
    </w:p>
    <w:p w:rsidR="00325EE4" w:rsidRPr="00754FC5" w:rsidRDefault="0084116C" w:rsidP="00754FC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54FC5">
        <w:rPr>
          <w:sz w:val="26"/>
          <w:szCs w:val="26"/>
        </w:rPr>
        <w:t>в объект социально-культурного назначения не менее 20 миллионов рублей</w:t>
      </w:r>
      <w:r w:rsidR="00D63C65" w:rsidRPr="00754FC5">
        <w:rPr>
          <w:sz w:val="26"/>
          <w:szCs w:val="26"/>
        </w:rPr>
        <w:t>;</w:t>
      </w:r>
    </w:p>
    <w:p w:rsidR="00325EE4" w:rsidRPr="00754FC5" w:rsidRDefault="00325EE4" w:rsidP="00754FC5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54FC5">
        <w:rPr>
          <w:sz w:val="26"/>
          <w:szCs w:val="26"/>
        </w:rPr>
        <w:t>в объект</w:t>
      </w:r>
      <w:r w:rsidR="0084116C" w:rsidRPr="00754FC5">
        <w:rPr>
          <w:sz w:val="26"/>
          <w:szCs w:val="26"/>
        </w:rPr>
        <w:t xml:space="preserve"> коммунально-бытового назначения стоимост</w:t>
      </w:r>
      <w:r w:rsidR="00D63C65" w:rsidRPr="00754FC5">
        <w:rPr>
          <w:sz w:val="26"/>
          <w:szCs w:val="26"/>
        </w:rPr>
        <w:t>ью не менее 50 миллионов рублей;</w:t>
      </w:r>
      <w:r w:rsidR="0084116C" w:rsidRPr="00754FC5">
        <w:rPr>
          <w:sz w:val="26"/>
          <w:szCs w:val="26"/>
        </w:rPr>
        <w:t xml:space="preserve"> </w:t>
      </w:r>
    </w:p>
    <w:p w:rsidR="00325EE4" w:rsidRPr="00754FC5" w:rsidRDefault="00325EE4" w:rsidP="00756CF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54FC5">
        <w:rPr>
          <w:sz w:val="26"/>
          <w:szCs w:val="26"/>
        </w:rPr>
        <w:t>в объект складского хозяйства и вспомогательной транспортной деятельност</w:t>
      </w:r>
      <w:r w:rsidR="00D63C65" w:rsidRPr="00754FC5">
        <w:rPr>
          <w:sz w:val="26"/>
          <w:szCs w:val="26"/>
        </w:rPr>
        <w:t>и</w:t>
      </w:r>
      <w:r w:rsidRPr="00754FC5">
        <w:rPr>
          <w:sz w:val="26"/>
          <w:szCs w:val="26"/>
        </w:rPr>
        <w:t xml:space="preserve"> </w:t>
      </w:r>
      <w:r w:rsidR="00D63C65" w:rsidRPr="00754FC5">
        <w:rPr>
          <w:sz w:val="26"/>
          <w:szCs w:val="26"/>
        </w:rPr>
        <w:t>стоимостью</w:t>
      </w:r>
      <w:r w:rsidRPr="00754FC5">
        <w:rPr>
          <w:sz w:val="26"/>
          <w:szCs w:val="26"/>
        </w:rPr>
        <w:t xml:space="preserve"> не менее 250 миллионов рублей</w:t>
      </w:r>
      <w:r w:rsidR="00D63C65" w:rsidRPr="00754FC5">
        <w:rPr>
          <w:sz w:val="26"/>
          <w:szCs w:val="26"/>
        </w:rPr>
        <w:t>;</w:t>
      </w:r>
    </w:p>
    <w:p w:rsidR="00D63C65" w:rsidRPr="00754FC5" w:rsidRDefault="00325EE4" w:rsidP="00756CF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54FC5">
        <w:rPr>
          <w:sz w:val="26"/>
          <w:szCs w:val="26"/>
        </w:rPr>
        <w:t xml:space="preserve">в объект </w:t>
      </w:r>
      <w:r w:rsidRPr="00325EE4">
        <w:rPr>
          <w:sz w:val="26"/>
          <w:szCs w:val="26"/>
        </w:rPr>
        <w:t>общественного питания</w:t>
      </w:r>
      <w:r w:rsidRPr="00754FC5">
        <w:rPr>
          <w:sz w:val="26"/>
          <w:szCs w:val="26"/>
        </w:rPr>
        <w:t xml:space="preserve"> стоимостью </w:t>
      </w:r>
      <w:r w:rsidRPr="00325EE4">
        <w:rPr>
          <w:sz w:val="26"/>
          <w:szCs w:val="26"/>
        </w:rPr>
        <w:t xml:space="preserve">не менее 60 миллионов рублей, общей площадью зала обслуживания посетителей не менее 100 квадратных метров, количеством посадочных мест не менее 50, </w:t>
      </w:r>
    </w:p>
    <w:p w:rsidR="00325EE4" w:rsidRPr="00754FC5" w:rsidRDefault="00D63C65" w:rsidP="00756CF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754FC5">
        <w:rPr>
          <w:sz w:val="26"/>
          <w:szCs w:val="26"/>
        </w:rPr>
        <w:lastRenderedPageBreak/>
        <w:t>в объект</w:t>
      </w:r>
      <w:r w:rsidR="00325EE4" w:rsidRPr="00325EE4">
        <w:rPr>
          <w:sz w:val="26"/>
          <w:szCs w:val="26"/>
        </w:rPr>
        <w:t>, связанн</w:t>
      </w:r>
      <w:r w:rsidRPr="00754FC5">
        <w:rPr>
          <w:sz w:val="26"/>
          <w:szCs w:val="26"/>
        </w:rPr>
        <w:t>ы</w:t>
      </w:r>
      <w:r w:rsidR="00325EE4" w:rsidRPr="00325EE4">
        <w:rPr>
          <w:sz w:val="26"/>
          <w:szCs w:val="26"/>
        </w:rPr>
        <w:t>й с организацией розничных рынков</w:t>
      </w:r>
      <w:r w:rsidRPr="00754FC5">
        <w:rPr>
          <w:sz w:val="26"/>
          <w:szCs w:val="26"/>
        </w:rPr>
        <w:t>, стоимостью</w:t>
      </w:r>
      <w:r w:rsidR="00325EE4" w:rsidRPr="00325EE4">
        <w:rPr>
          <w:sz w:val="26"/>
          <w:szCs w:val="26"/>
        </w:rPr>
        <w:t xml:space="preserve"> не менее 100 миллионов рублей, общей площадью имущественного комплекса не менее 50 торговых мест (на котором не менее 20 процентов торговых мест предназначено для продажи сельскохозяйственной продукции, произведенной малыми формами хозяйствования - крестьянскими (фермерскими) хозяйствами, сельскохозяйственными потребительскими перерабатывающими кооперативами, гражданами, ведущими личное подсобное хозяйство и применяющими специальный налоговый режим </w:t>
      </w:r>
      <w:r w:rsidRPr="00754FC5">
        <w:rPr>
          <w:sz w:val="26"/>
          <w:szCs w:val="26"/>
        </w:rPr>
        <w:t>«</w:t>
      </w:r>
      <w:r w:rsidR="00325EE4" w:rsidRPr="00325EE4">
        <w:rPr>
          <w:sz w:val="26"/>
          <w:szCs w:val="26"/>
        </w:rPr>
        <w:t>Налог на профессиональный доход</w:t>
      </w:r>
      <w:r w:rsidRPr="00754FC5">
        <w:rPr>
          <w:sz w:val="26"/>
          <w:szCs w:val="26"/>
        </w:rPr>
        <w:t>»</w:t>
      </w:r>
      <w:r w:rsidR="00325EE4" w:rsidRPr="00325EE4">
        <w:rPr>
          <w:sz w:val="26"/>
          <w:szCs w:val="26"/>
        </w:rPr>
        <w:t>, осуществляющими производственную деятельность на т</w:t>
      </w:r>
      <w:r w:rsidRPr="00754FC5">
        <w:rPr>
          <w:sz w:val="26"/>
          <w:szCs w:val="26"/>
        </w:rPr>
        <w:t>ерритории Вологодской области);».</w:t>
      </w:r>
    </w:p>
    <w:p w:rsidR="00427BD9" w:rsidRPr="000364C6" w:rsidRDefault="00427BD9" w:rsidP="00756CF2">
      <w:pPr>
        <w:widowControl w:val="0"/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0364C6">
        <w:rPr>
          <w:sz w:val="26"/>
          <w:szCs w:val="26"/>
        </w:rPr>
        <w:t>П</w:t>
      </w:r>
      <w:r w:rsidR="000364C6" w:rsidRPr="000364C6">
        <w:rPr>
          <w:sz w:val="26"/>
          <w:szCs w:val="26"/>
        </w:rPr>
        <w:t>ункты 4.6</w:t>
      </w:r>
      <w:r w:rsidRPr="000364C6">
        <w:rPr>
          <w:sz w:val="26"/>
          <w:szCs w:val="26"/>
        </w:rPr>
        <w:t xml:space="preserve"> – 4.</w:t>
      </w:r>
      <w:r w:rsidR="000364C6" w:rsidRPr="000364C6">
        <w:rPr>
          <w:sz w:val="26"/>
          <w:szCs w:val="26"/>
        </w:rPr>
        <w:t>7</w:t>
      </w:r>
      <w:r w:rsidRPr="000364C6">
        <w:rPr>
          <w:sz w:val="26"/>
          <w:szCs w:val="26"/>
        </w:rPr>
        <w:t xml:space="preserve"> изложить в следующей редакции:</w:t>
      </w:r>
    </w:p>
    <w:p w:rsidR="00427BD9" w:rsidRPr="00CA5F61" w:rsidRDefault="00427BD9" w:rsidP="00756CF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CA5F61">
        <w:rPr>
          <w:sz w:val="26"/>
          <w:szCs w:val="26"/>
        </w:rPr>
        <w:t xml:space="preserve">«4.6. Для принятия решения о допуске инвестиционного проекта к отбору либо об отказе в допуске инвестиционного проекта к отбору Уполномоченный орган в течение пяти рабочих дней со дня окончания срока, указанного в абзаце первом пункта 4.5 настоящего Положения, направляет запросы: </w:t>
      </w:r>
    </w:p>
    <w:p w:rsidR="00CA5F61" w:rsidRPr="00CA5F61" w:rsidRDefault="00427BD9" w:rsidP="00756CF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CA5F61">
        <w:rPr>
          <w:sz w:val="26"/>
          <w:szCs w:val="26"/>
        </w:rPr>
        <w:t xml:space="preserve">в Департамент </w:t>
      </w:r>
      <w:r w:rsidR="00CA5F61" w:rsidRPr="00CA5F61">
        <w:rPr>
          <w:sz w:val="26"/>
          <w:szCs w:val="26"/>
        </w:rPr>
        <w:t xml:space="preserve">архитектуры и </w:t>
      </w:r>
      <w:r w:rsidRPr="00CA5F61">
        <w:rPr>
          <w:sz w:val="26"/>
          <w:szCs w:val="26"/>
        </w:rPr>
        <w:t>градостроительства Администрации города Вологды -</w:t>
      </w:r>
      <w:r w:rsidR="00CA5F61" w:rsidRPr="00CA5F61">
        <w:rPr>
          <w:sz w:val="26"/>
          <w:szCs w:val="26"/>
        </w:rPr>
        <w:t xml:space="preserve"> о предоставлении заключения о соответствии инвестиционного проекта документам территориального планирования, градостроительного зонирования и документации по планировке территории (при наличии) городского округа города Вологды</w:t>
      </w:r>
    </w:p>
    <w:p w:rsidR="00427BD9" w:rsidRPr="00CA5F61" w:rsidRDefault="00427BD9" w:rsidP="00756CF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CA5F61">
        <w:rPr>
          <w:sz w:val="26"/>
          <w:szCs w:val="26"/>
        </w:rPr>
        <w:t xml:space="preserve">в Департамент имущественных отношений Администрации города Вологды - о возможности </w:t>
      </w:r>
      <w:r w:rsidR="00CA5F61" w:rsidRPr="00CA5F61">
        <w:rPr>
          <w:sz w:val="26"/>
          <w:szCs w:val="26"/>
        </w:rPr>
        <w:t xml:space="preserve">формирования земельного участка (земельных участков) и </w:t>
      </w:r>
      <w:r w:rsidRPr="00CA5F61">
        <w:rPr>
          <w:sz w:val="26"/>
          <w:szCs w:val="26"/>
        </w:rPr>
        <w:t xml:space="preserve">передачи инвестору в аренду без проведения торгов испрашиваемого земельного участка (земельных участков) для реализации инвестиционного проекта. </w:t>
      </w:r>
    </w:p>
    <w:p w:rsidR="00427BD9" w:rsidRPr="00CA5F61" w:rsidRDefault="00427BD9" w:rsidP="00756CF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CA5F61">
        <w:rPr>
          <w:sz w:val="26"/>
          <w:szCs w:val="26"/>
        </w:rPr>
        <w:t xml:space="preserve">4.7. В течение десяти рабочих дней со дня получения органами, указанными в пункте 4.6 настоящего Положения, запросов от Уполномоченного органа с прилагаемыми документами: </w:t>
      </w:r>
    </w:p>
    <w:p w:rsidR="00427BD9" w:rsidRPr="00CA5F61" w:rsidRDefault="00427BD9" w:rsidP="00756CF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CA5F61">
        <w:rPr>
          <w:sz w:val="26"/>
          <w:szCs w:val="26"/>
        </w:rPr>
        <w:t xml:space="preserve">Департамент </w:t>
      </w:r>
      <w:r w:rsidR="00CA5F61" w:rsidRPr="00CA5F61">
        <w:rPr>
          <w:sz w:val="26"/>
          <w:szCs w:val="26"/>
        </w:rPr>
        <w:t xml:space="preserve">архитектуры и </w:t>
      </w:r>
      <w:r w:rsidRPr="00CA5F61">
        <w:rPr>
          <w:sz w:val="26"/>
          <w:szCs w:val="26"/>
        </w:rPr>
        <w:t>градостроительства Администрации города Вологды готовит и направляет в Уполномоченный орган заключение о</w:t>
      </w:r>
      <w:r w:rsidR="00CA5F61" w:rsidRPr="00CA5F61">
        <w:rPr>
          <w:sz w:val="26"/>
          <w:szCs w:val="26"/>
        </w:rPr>
        <w:t xml:space="preserve"> соответствии (несоответствии) инвестиционного проекта документам территориального планирования, </w:t>
      </w:r>
      <w:r w:rsidRPr="00CA5F61">
        <w:rPr>
          <w:sz w:val="26"/>
          <w:szCs w:val="26"/>
        </w:rPr>
        <w:t xml:space="preserve">документам градостроительного зонирования </w:t>
      </w:r>
      <w:r w:rsidR="00CA5F61" w:rsidRPr="00CA5F61">
        <w:rPr>
          <w:sz w:val="26"/>
          <w:szCs w:val="26"/>
        </w:rPr>
        <w:t xml:space="preserve">и документации по планировке территории (при наличии) городского округа города </w:t>
      </w:r>
      <w:r w:rsidR="00CA5F61" w:rsidRPr="00CA5F61">
        <w:rPr>
          <w:sz w:val="26"/>
          <w:szCs w:val="26"/>
        </w:rPr>
        <w:lastRenderedPageBreak/>
        <w:t>Вологды</w:t>
      </w:r>
      <w:r w:rsidRPr="00CA5F61">
        <w:rPr>
          <w:sz w:val="26"/>
          <w:szCs w:val="26"/>
        </w:rPr>
        <w:t xml:space="preserve">; </w:t>
      </w:r>
    </w:p>
    <w:p w:rsidR="00427BD9" w:rsidRPr="00CA5F61" w:rsidRDefault="00427BD9" w:rsidP="00756CF2">
      <w:pPr>
        <w:widowControl w:val="0"/>
        <w:spacing w:line="360" w:lineRule="auto"/>
        <w:ind w:firstLine="709"/>
        <w:jc w:val="both"/>
        <w:rPr>
          <w:sz w:val="26"/>
          <w:szCs w:val="26"/>
        </w:rPr>
      </w:pPr>
      <w:r w:rsidRPr="00CA5F61">
        <w:rPr>
          <w:sz w:val="26"/>
          <w:szCs w:val="26"/>
        </w:rPr>
        <w:t xml:space="preserve">Департамент имущественных отношений Администрации города Вологды готовит и направляет в Уполномоченный орган заключение о </w:t>
      </w:r>
      <w:r w:rsidR="00CA5F61" w:rsidRPr="00CA5F61">
        <w:rPr>
          <w:sz w:val="26"/>
          <w:szCs w:val="26"/>
        </w:rPr>
        <w:t xml:space="preserve">возможности (невозможности) формирования земельного участка (земельных участков) и </w:t>
      </w:r>
      <w:r w:rsidRPr="00CA5F61">
        <w:rPr>
          <w:sz w:val="26"/>
          <w:szCs w:val="26"/>
        </w:rPr>
        <w:t>передачи инвестору в аренду без проведения торгов испрашиваемого земельного участка (земельных участков) для реализации инвестиционного проекта.</w:t>
      </w:r>
      <w:r w:rsidR="00D02291">
        <w:rPr>
          <w:sz w:val="26"/>
          <w:szCs w:val="26"/>
        </w:rPr>
        <w:t>».</w:t>
      </w:r>
    </w:p>
    <w:p w:rsidR="00427BD9" w:rsidRPr="000364C6" w:rsidRDefault="00427BD9" w:rsidP="00427BD9">
      <w:pPr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0364C6">
        <w:rPr>
          <w:sz w:val="26"/>
          <w:szCs w:val="26"/>
        </w:rPr>
        <w:t xml:space="preserve">В </w:t>
      </w:r>
      <w:r w:rsidR="000364C6" w:rsidRPr="000364C6">
        <w:rPr>
          <w:sz w:val="26"/>
          <w:szCs w:val="26"/>
        </w:rPr>
        <w:t xml:space="preserve">первом абзаце </w:t>
      </w:r>
      <w:r w:rsidRPr="000364C6">
        <w:rPr>
          <w:sz w:val="26"/>
          <w:szCs w:val="26"/>
        </w:rPr>
        <w:t>пункт</w:t>
      </w:r>
      <w:r w:rsidR="000364C6" w:rsidRPr="000364C6">
        <w:rPr>
          <w:sz w:val="26"/>
          <w:szCs w:val="26"/>
        </w:rPr>
        <w:t>а</w:t>
      </w:r>
      <w:r w:rsidRPr="000364C6">
        <w:rPr>
          <w:sz w:val="26"/>
          <w:szCs w:val="26"/>
        </w:rPr>
        <w:t xml:space="preserve"> 4.</w:t>
      </w:r>
      <w:r w:rsidR="000364C6" w:rsidRPr="000364C6">
        <w:rPr>
          <w:sz w:val="26"/>
          <w:szCs w:val="26"/>
        </w:rPr>
        <w:t xml:space="preserve">8 слова «Департамента градостроительства Администрации города Вологды, Управления архитектуры Администрации города Вологды» </w:t>
      </w:r>
      <w:r w:rsidRPr="000364C6">
        <w:rPr>
          <w:sz w:val="26"/>
          <w:szCs w:val="26"/>
        </w:rPr>
        <w:t xml:space="preserve">заменить </w:t>
      </w:r>
      <w:r w:rsidR="000364C6" w:rsidRPr="000364C6">
        <w:rPr>
          <w:sz w:val="26"/>
          <w:szCs w:val="26"/>
        </w:rPr>
        <w:t xml:space="preserve">словами </w:t>
      </w:r>
      <w:r w:rsidRPr="000364C6">
        <w:rPr>
          <w:sz w:val="26"/>
          <w:szCs w:val="26"/>
        </w:rPr>
        <w:t>«</w:t>
      </w:r>
      <w:r w:rsidR="000364C6" w:rsidRPr="000364C6">
        <w:rPr>
          <w:sz w:val="26"/>
          <w:szCs w:val="26"/>
        </w:rPr>
        <w:t>Департамента архитектуры и градостроительства Администрации города Вологды</w:t>
      </w:r>
      <w:r w:rsidRPr="000364C6">
        <w:rPr>
          <w:sz w:val="26"/>
          <w:szCs w:val="26"/>
        </w:rPr>
        <w:t>».</w:t>
      </w:r>
    </w:p>
    <w:p w:rsidR="00427BD9" w:rsidRPr="00754FC5" w:rsidRDefault="00427BD9" w:rsidP="00427BD9">
      <w:pPr>
        <w:widowControl w:val="0"/>
        <w:numPr>
          <w:ilvl w:val="1"/>
          <w:numId w:val="3"/>
        </w:numPr>
        <w:tabs>
          <w:tab w:val="left" w:pos="1276"/>
          <w:tab w:val="left" w:pos="9214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754FC5">
        <w:rPr>
          <w:sz w:val="26"/>
          <w:szCs w:val="26"/>
        </w:rPr>
        <w:t>В разделе 5:</w:t>
      </w:r>
    </w:p>
    <w:p w:rsidR="00427BD9" w:rsidRPr="00754FC5" w:rsidRDefault="00D63C65" w:rsidP="00427BD9">
      <w:pPr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754FC5">
        <w:rPr>
          <w:sz w:val="26"/>
          <w:szCs w:val="26"/>
        </w:rPr>
        <w:t xml:space="preserve">Пункт </w:t>
      </w:r>
      <w:r w:rsidR="00427BD9" w:rsidRPr="00754FC5">
        <w:rPr>
          <w:sz w:val="26"/>
          <w:szCs w:val="26"/>
        </w:rPr>
        <w:t xml:space="preserve">5.2 </w:t>
      </w:r>
      <w:r w:rsidRPr="00754FC5">
        <w:rPr>
          <w:sz w:val="26"/>
          <w:szCs w:val="26"/>
        </w:rPr>
        <w:t>исключить.</w:t>
      </w:r>
    </w:p>
    <w:p w:rsidR="00D63C65" w:rsidRPr="00754FC5" w:rsidRDefault="00D63C65" w:rsidP="00427BD9">
      <w:pPr>
        <w:numPr>
          <w:ilvl w:val="2"/>
          <w:numId w:val="3"/>
        </w:numPr>
        <w:tabs>
          <w:tab w:val="left" w:pos="1276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754FC5">
        <w:rPr>
          <w:sz w:val="26"/>
          <w:szCs w:val="26"/>
        </w:rPr>
        <w:t>Пункты 5.3, 5.4 считать пунктами 5.2, 5.3 соответственно</w:t>
      </w:r>
      <w:r w:rsidR="00D02291">
        <w:rPr>
          <w:sz w:val="26"/>
          <w:szCs w:val="26"/>
        </w:rPr>
        <w:t>.</w:t>
      </w:r>
    </w:p>
    <w:p w:rsidR="00C45A12" w:rsidRPr="00754FC5" w:rsidRDefault="00C45A12" w:rsidP="00754FC5">
      <w:pPr>
        <w:pStyle w:val="ab"/>
        <w:widowControl w:val="0"/>
        <w:numPr>
          <w:ilvl w:val="0"/>
          <w:numId w:val="3"/>
        </w:numPr>
        <w:tabs>
          <w:tab w:val="left" w:pos="0"/>
          <w:tab w:val="left" w:pos="426"/>
          <w:tab w:val="left" w:pos="993"/>
        </w:tabs>
        <w:autoSpaceDE w:val="0"/>
        <w:autoSpaceDN w:val="0"/>
        <w:adjustRightInd w:val="0"/>
        <w:spacing w:line="348" w:lineRule="auto"/>
        <w:ind w:left="0" w:firstLine="709"/>
        <w:jc w:val="both"/>
        <w:rPr>
          <w:sz w:val="26"/>
          <w:szCs w:val="26"/>
        </w:rPr>
      </w:pPr>
      <w:r w:rsidRPr="00754FC5">
        <w:rPr>
          <w:sz w:val="26"/>
          <w:szCs w:val="26"/>
        </w:rPr>
        <w:t>Настоящее постановление подлежит официальному опубликованию</w:t>
      </w:r>
      <w:r w:rsidRPr="00754FC5">
        <w:rPr>
          <w:sz w:val="26"/>
          <w:szCs w:val="26"/>
        </w:rPr>
        <w:br/>
        <w:t>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C45A12" w:rsidRDefault="00C45A12" w:rsidP="00C45A1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48" w:lineRule="auto"/>
        <w:jc w:val="both"/>
        <w:rPr>
          <w:sz w:val="26"/>
          <w:szCs w:val="26"/>
        </w:rPr>
      </w:pPr>
    </w:p>
    <w:p w:rsidR="00C45A12" w:rsidRDefault="00C45A12" w:rsidP="00C45A1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48" w:lineRule="auto"/>
        <w:jc w:val="both"/>
        <w:rPr>
          <w:sz w:val="26"/>
          <w:szCs w:val="26"/>
        </w:rPr>
      </w:pPr>
    </w:p>
    <w:p w:rsidR="00C45A12" w:rsidRDefault="00C45A12" w:rsidP="00C45A12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line="360" w:lineRule="auto"/>
        <w:ind w:left="709"/>
        <w:jc w:val="both"/>
        <w:rPr>
          <w:sz w:val="12"/>
          <w:szCs w:val="12"/>
        </w:rPr>
      </w:pPr>
    </w:p>
    <w:p w:rsidR="00C45A12" w:rsidRDefault="00C45A12" w:rsidP="00C45A12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>Мэр города Вологды</w:t>
      </w:r>
      <w:r>
        <w:rPr>
          <w:bCs/>
          <w:sz w:val="26"/>
          <w:szCs w:val="26"/>
        </w:rPr>
        <w:tab/>
        <w:t xml:space="preserve">                                                                        А.Н. Накрошаев</w:t>
      </w:r>
      <w:r>
        <w:rPr>
          <w:sz w:val="26"/>
          <w:szCs w:val="26"/>
        </w:rPr>
        <w:t xml:space="preserve"> </w:t>
      </w:r>
    </w:p>
    <w:p w:rsidR="00F66F2F" w:rsidRDefault="00F66F2F" w:rsidP="00F66F2F">
      <w:pPr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D63C65">
      <w:headerReference w:type="default" r:id="rId10"/>
      <w:pgSz w:w="11907" w:h="16840"/>
      <w:pgMar w:top="1134" w:right="680" w:bottom="1134" w:left="187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E0F" w:rsidRDefault="00B75E0F" w:rsidP="000C33DF">
      <w:r>
        <w:separator/>
      </w:r>
    </w:p>
  </w:endnote>
  <w:endnote w:type="continuationSeparator" w:id="0">
    <w:p w:rsidR="00B75E0F" w:rsidRDefault="00B75E0F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E0F" w:rsidRDefault="00B75E0F" w:rsidP="000C33DF">
      <w:r>
        <w:separator/>
      </w:r>
    </w:p>
  </w:footnote>
  <w:footnote w:type="continuationSeparator" w:id="0">
    <w:p w:rsidR="00B75E0F" w:rsidRDefault="00B75E0F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1965705"/>
      <w:docPartObj>
        <w:docPartGallery w:val="Page Numbers (Top of Page)"/>
        <w:docPartUnique/>
      </w:docPartObj>
    </w:sdtPr>
    <w:sdtEndPr/>
    <w:sdtContent>
      <w:p w:rsidR="00D63C65" w:rsidRDefault="00D63C6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3DD5">
          <w:rPr>
            <w:noProof/>
          </w:rPr>
          <w:t>2</w:t>
        </w:r>
        <w:r>
          <w:fldChar w:fldCharType="end"/>
        </w:r>
      </w:p>
    </w:sdtContent>
  </w:sdt>
  <w:p w:rsidR="00D63C65" w:rsidRDefault="00D63C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24A2"/>
    <w:multiLevelType w:val="multilevel"/>
    <w:tmpl w:val="3DF0AB3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">
    <w:nsid w:val="68722620"/>
    <w:multiLevelType w:val="multilevel"/>
    <w:tmpl w:val="0158FD80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76846B71"/>
    <w:multiLevelType w:val="multilevel"/>
    <w:tmpl w:val="D9960F94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364C6"/>
    <w:rsid w:val="00041E71"/>
    <w:rsid w:val="00050C97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D152D"/>
    <w:rsid w:val="001D52F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25EE4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27BD9"/>
    <w:rsid w:val="00441706"/>
    <w:rsid w:val="00441E16"/>
    <w:rsid w:val="00455AD8"/>
    <w:rsid w:val="0046132B"/>
    <w:rsid w:val="00464A76"/>
    <w:rsid w:val="00464C2A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490F"/>
    <w:rsid w:val="00523634"/>
    <w:rsid w:val="00524D6C"/>
    <w:rsid w:val="00537891"/>
    <w:rsid w:val="00553DDF"/>
    <w:rsid w:val="00557023"/>
    <w:rsid w:val="00567D0A"/>
    <w:rsid w:val="00594A39"/>
    <w:rsid w:val="0059637B"/>
    <w:rsid w:val="005A072B"/>
    <w:rsid w:val="005A0A19"/>
    <w:rsid w:val="005A583E"/>
    <w:rsid w:val="005B2796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73DD5"/>
    <w:rsid w:val="00686E00"/>
    <w:rsid w:val="00691106"/>
    <w:rsid w:val="00691A25"/>
    <w:rsid w:val="006929EC"/>
    <w:rsid w:val="006A7EBF"/>
    <w:rsid w:val="006B0A51"/>
    <w:rsid w:val="006D5E27"/>
    <w:rsid w:val="006F7CD5"/>
    <w:rsid w:val="00717427"/>
    <w:rsid w:val="00726832"/>
    <w:rsid w:val="007307D3"/>
    <w:rsid w:val="00741E54"/>
    <w:rsid w:val="00754FC5"/>
    <w:rsid w:val="00755149"/>
    <w:rsid w:val="00756CF2"/>
    <w:rsid w:val="00764231"/>
    <w:rsid w:val="007707EF"/>
    <w:rsid w:val="007731F8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2260A"/>
    <w:rsid w:val="0084116C"/>
    <w:rsid w:val="0084244E"/>
    <w:rsid w:val="00875BE7"/>
    <w:rsid w:val="00876164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0F07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7C19"/>
    <w:rsid w:val="00AD0D68"/>
    <w:rsid w:val="00B01109"/>
    <w:rsid w:val="00B26C93"/>
    <w:rsid w:val="00B35569"/>
    <w:rsid w:val="00B35D19"/>
    <w:rsid w:val="00B531F3"/>
    <w:rsid w:val="00B64CD7"/>
    <w:rsid w:val="00B75E0F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5A12"/>
    <w:rsid w:val="00C47932"/>
    <w:rsid w:val="00C53E57"/>
    <w:rsid w:val="00C54C0D"/>
    <w:rsid w:val="00C57CD2"/>
    <w:rsid w:val="00C60AF4"/>
    <w:rsid w:val="00C650AC"/>
    <w:rsid w:val="00C80BA6"/>
    <w:rsid w:val="00CA5F61"/>
    <w:rsid w:val="00CC30EB"/>
    <w:rsid w:val="00CC7168"/>
    <w:rsid w:val="00CE2F8B"/>
    <w:rsid w:val="00CF30DA"/>
    <w:rsid w:val="00CF66EA"/>
    <w:rsid w:val="00D02291"/>
    <w:rsid w:val="00D065EE"/>
    <w:rsid w:val="00D211A8"/>
    <w:rsid w:val="00D21D2A"/>
    <w:rsid w:val="00D2302E"/>
    <w:rsid w:val="00D247A8"/>
    <w:rsid w:val="00D3034B"/>
    <w:rsid w:val="00D53C5B"/>
    <w:rsid w:val="00D55D00"/>
    <w:rsid w:val="00D63C65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A4961"/>
    <w:rsid w:val="00EB0428"/>
    <w:rsid w:val="00EB240D"/>
    <w:rsid w:val="00EB7255"/>
    <w:rsid w:val="00EC2884"/>
    <w:rsid w:val="00ED665A"/>
    <w:rsid w:val="00EF0C9B"/>
    <w:rsid w:val="00EF3F6F"/>
    <w:rsid w:val="00EF404A"/>
    <w:rsid w:val="00F01A08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A329C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C45A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C45A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unhideWhenUsed/>
    <w:rsid w:val="00C45A1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54F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paragraph" w:styleId="3">
    <w:name w:val="heading 3"/>
    <w:basedOn w:val="a"/>
    <w:next w:val="a"/>
    <w:link w:val="30"/>
    <w:semiHidden/>
    <w:unhideWhenUsed/>
    <w:qFormat/>
    <w:rsid w:val="00C45A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C45A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unhideWhenUsed/>
    <w:rsid w:val="00C45A1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754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23699-5100-43A3-8E8B-F76DF1409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2025-03-18T05:51:00Z</cp:lastPrinted>
  <dcterms:created xsi:type="dcterms:W3CDTF">2025-03-18T13:16:00Z</dcterms:created>
  <dcterms:modified xsi:type="dcterms:W3CDTF">2025-03-18T13:16:00Z</dcterms:modified>
</cp:coreProperties>
</file>