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>№ 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6B546C">
        <w:rPr>
          <w:szCs w:val="26"/>
        </w:rPr>
        <w:t>28.02.2023</w:t>
      </w:r>
      <w:r w:rsidRPr="00EC6652">
        <w:rPr>
          <w:szCs w:val="26"/>
        </w:rPr>
        <w:t xml:space="preserve"> № </w:t>
      </w:r>
      <w:r w:rsidR="006B546C">
        <w:rPr>
          <w:szCs w:val="26"/>
        </w:rPr>
        <w:t>257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к муниципальной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«Формирование современной городскойсреды на территории </w:t>
      </w:r>
      <w:r>
        <w:t>городского округагорода Вологды</w:t>
      </w:r>
      <w:r w:rsidRPr="00EC6652">
        <w:t>»</w:t>
      </w:r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1" w:name="P1294"/>
      <w:bookmarkEnd w:id="1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559"/>
        <w:gridCol w:w="851"/>
        <w:gridCol w:w="850"/>
        <w:gridCol w:w="851"/>
        <w:gridCol w:w="850"/>
        <w:gridCol w:w="851"/>
        <w:gridCol w:w="850"/>
        <w:gridCol w:w="851"/>
        <w:gridCol w:w="868"/>
      </w:tblGrid>
      <w:tr w:rsidR="007C3271" w:rsidRPr="007C3271" w:rsidTr="001C7E90">
        <w:trPr>
          <w:trHeight w:val="1861"/>
        </w:trPr>
        <w:tc>
          <w:tcPr>
            <w:tcW w:w="62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п/п</w:t>
            </w:r>
          </w:p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55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68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</w:tr>
      <w:tr w:rsidR="007C3271" w:rsidRPr="007C3271" w:rsidTr="001C7E90">
        <w:tc>
          <w:tcPr>
            <w:tcW w:w="62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F75908" w:rsidRPr="00400E36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850" w:type="dxa"/>
          </w:tcPr>
          <w:p w:rsidR="00871081" w:rsidRPr="00400E36" w:rsidRDefault="008713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1" w:type="dxa"/>
          </w:tcPr>
          <w:p w:rsidR="00871081" w:rsidRPr="00400E36" w:rsidRDefault="007803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34*</w:t>
            </w:r>
          </w:p>
        </w:tc>
        <w:tc>
          <w:tcPr>
            <w:tcW w:w="868" w:type="dxa"/>
          </w:tcPr>
          <w:p w:rsidR="00871081" w:rsidRPr="00400E36" w:rsidRDefault="0087139C" w:rsidP="0078032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780327" w:rsidRPr="00400E36">
              <w:rPr>
                <w:color w:val="000000" w:themeColor="text1"/>
                <w:szCs w:val="26"/>
              </w:rPr>
              <w:t>4</w:t>
            </w:r>
            <w:r w:rsidRPr="00400E36">
              <w:rPr>
                <w:color w:val="000000" w:themeColor="text1"/>
                <w:szCs w:val="26"/>
              </w:rPr>
              <w:t>1*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68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</w:t>
            </w:r>
            <w:r w:rsidR="00F75908" w:rsidRPr="00400E36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871081" w:rsidRPr="00400E36" w:rsidRDefault="008713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51" w:type="dxa"/>
          </w:tcPr>
          <w:p w:rsidR="00871081" w:rsidRPr="00400E36" w:rsidRDefault="00F638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68" w:type="dxa"/>
          </w:tcPr>
          <w:p w:rsidR="00871081" w:rsidRPr="00400E36" w:rsidRDefault="00F638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77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E820EA">
              <w:rPr>
                <w:color w:val="000000" w:themeColor="text1"/>
                <w:szCs w:val="26"/>
              </w:rPr>
              <w:t>,</w:t>
            </w:r>
            <w:r w:rsidR="00F75908"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50" w:type="dxa"/>
          </w:tcPr>
          <w:p w:rsidR="00871081" w:rsidRPr="00400E36" w:rsidRDefault="0087139C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1" w:type="dxa"/>
          </w:tcPr>
          <w:p w:rsidR="00871081" w:rsidRPr="00400E36" w:rsidRDefault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6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16</w:t>
            </w:r>
          </w:p>
        </w:tc>
        <w:tc>
          <w:tcPr>
            <w:tcW w:w="868" w:type="dxa"/>
          </w:tcPr>
          <w:p w:rsidR="00871081" w:rsidRPr="00400E36" w:rsidRDefault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33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80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1E0B3C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="00871081"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="00871081"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="00871081"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="00871081"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E820EA">
              <w:rPr>
                <w:color w:val="000000" w:themeColor="text1"/>
                <w:szCs w:val="26"/>
              </w:rPr>
              <w:t>,</w:t>
            </w:r>
            <w:r w:rsidR="00F75908"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50" w:type="dxa"/>
          </w:tcPr>
          <w:p w:rsidR="00871081" w:rsidRPr="00400E36" w:rsidRDefault="00E92259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51" w:type="dxa"/>
          </w:tcPr>
          <w:p w:rsidR="00871081" w:rsidRPr="00400E36" w:rsidRDefault="00E92259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820EA">
              <w:rPr>
                <w:color w:val="000000" w:themeColor="text1"/>
                <w:szCs w:val="26"/>
              </w:rPr>
              <w:t>,</w:t>
            </w:r>
            <w:r w:rsidR="00F975E2" w:rsidRPr="00400E36">
              <w:rPr>
                <w:color w:val="000000" w:themeColor="text1"/>
                <w:szCs w:val="26"/>
              </w:rPr>
              <w:t>94</w:t>
            </w:r>
          </w:p>
        </w:tc>
        <w:tc>
          <w:tcPr>
            <w:tcW w:w="868" w:type="dxa"/>
          </w:tcPr>
          <w:p w:rsidR="00871081" w:rsidRPr="00400E36" w:rsidRDefault="00F975E2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69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871081" w:rsidRPr="00400E36" w:rsidRDefault="00E9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68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D46980" w:rsidRDefault="00C231D4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CC3E49" w:rsidRDefault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CC3E49" w:rsidRDefault="001B1B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871081" w:rsidRPr="00D46980">
              <w:rPr>
                <w:color w:val="000000" w:themeColor="text1"/>
                <w:szCs w:val="26"/>
              </w:rPr>
              <w:t>**</w:t>
            </w:r>
          </w:p>
        </w:tc>
        <w:tc>
          <w:tcPr>
            <w:tcW w:w="868" w:type="dxa"/>
          </w:tcPr>
          <w:p w:rsidR="00871081" w:rsidRPr="00D46980" w:rsidRDefault="00CC3E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6</w:t>
            </w:r>
            <w:r w:rsidR="00871081" w:rsidRPr="00D46980">
              <w:rPr>
                <w:color w:val="000000" w:themeColor="text1"/>
                <w:szCs w:val="26"/>
              </w:rPr>
              <w:t>***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51" w:type="dxa"/>
          </w:tcPr>
          <w:p w:rsidR="00871081" w:rsidRPr="00D46980" w:rsidRDefault="00871081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E820EA">
              <w:rPr>
                <w:color w:val="000000" w:themeColor="text1"/>
                <w:szCs w:val="26"/>
              </w:rPr>
              <w:t>,</w:t>
            </w:r>
            <w:r w:rsidR="008D7D42"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0" w:type="dxa"/>
          </w:tcPr>
          <w:p w:rsidR="00871081" w:rsidRPr="00D46980" w:rsidRDefault="00A11E6E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E820EA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1" w:type="dxa"/>
          </w:tcPr>
          <w:p w:rsidR="00871081" w:rsidRPr="00CC3E49" w:rsidRDefault="00CC3E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E820EA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96</w:t>
            </w:r>
          </w:p>
        </w:tc>
        <w:tc>
          <w:tcPr>
            <w:tcW w:w="868" w:type="dxa"/>
          </w:tcPr>
          <w:p w:rsidR="00871081" w:rsidRPr="00CC3E49" w:rsidRDefault="00CC3E49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E820EA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2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871081" w:rsidRPr="00973FE8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195427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195427" w:rsidRDefault="00871081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195427" w:rsidRDefault="00871081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  <w:hyperlink r:id="rId6" w:history="1">
              <w:r w:rsidRPr="00195427">
                <w:rPr>
                  <w:color w:val="000000" w:themeColor="text1"/>
                  <w:szCs w:val="26"/>
                </w:rPr>
                <w:t>**</w:t>
              </w:r>
            </w:hyperlink>
          </w:p>
        </w:tc>
        <w:tc>
          <w:tcPr>
            <w:tcW w:w="851" w:type="dxa"/>
          </w:tcPr>
          <w:p w:rsidR="00871081" w:rsidRPr="007C3271" w:rsidRDefault="00CC3E49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hyperlink r:id="rId7" w:history="1">
              <w:r w:rsidR="00871081" w:rsidRPr="007C3271">
                <w:rPr>
                  <w:color w:val="000000" w:themeColor="text1"/>
                  <w:szCs w:val="26"/>
                </w:rPr>
                <w:t>***</w:t>
              </w:r>
            </w:hyperlink>
          </w:p>
        </w:tc>
        <w:tc>
          <w:tcPr>
            <w:tcW w:w="868" w:type="dxa"/>
          </w:tcPr>
          <w:p w:rsidR="00871081" w:rsidRPr="007C3271" w:rsidRDefault="00CC3E49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6</w:t>
            </w:r>
            <w:hyperlink r:id="rId8" w:history="1">
              <w:r w:rsidR="00871081" w:rsidRPr="007C3271">
                <w:rPr>
                  <w:color w:val="000000" w:themeColor="text1"/>
                  <w:szCs w:val="26"/>
                </w:rPr>
                <w:t>***</w:t>
              </w:r>
            </w:hyperlink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973FE8" w:rsidRDefault="00871081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</w:t>
            </w:r>
            <w:r w:rsidR="00973FE8" w:rsidRPr="00973FE8">
              <w:rPr>
                <w:color w:val="000000" w:themeColor="text1"/>
                <w:szCs w:val="26"/>
              </w:rPr>
              <w:t>«</w:t>
            </w:r>
            <w:r w:rsidRPr="00973FE8">
              <w:rPr>
                <w:color w:val="000000" w:themeColor="text1"/>
                <w:szCs w:val="26"/>
              </w:rPr>
              <w:t>Город Вологда</w:t>
            </w:r>
            <w:r w:rsidR="00973FE8" w:rsidRPr="00973FE8">
              <w:rPr>
                <w:color w:val="000000" w:themeColor="text1"/>
                <w:szCs w:val="26"/>
              </w:rPr>
              <w:t>»</w:t>
            </w:r>
            <w:r w:rsidRPr="00973FE8">
              <w:rPr>
                <w:color w:val="000000" w:themeColor="text1"/>
                <w:szCs w:val="26"/>
              </w:rPr>
              <w:t xml:space="preserve"> (для 2017 года)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973FE8" w:rsidRDefault="00871081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</w:t>
            </w:r>
            <w:r w:rsidR="00973FE8" w:rsidRPr="00973FE8">
              <w:rPr>
                <w:color w:val="000000" w:themeColor="text1"/>
                <w:szCs w:val="26"/>
              </w:rPr>
              <w:t>«</w:t>
            </w:r>
            <w:r w:rsidRPr="00973FE8">
              <w:rPr>
                <w:color w:val="000000" w:themeColor="text1"/>
                <w:szCs w:val="26"/>
              </w:rPr>
              <w:t>Город Вологда</w:t>
            </w:r>
            <w:r w:rsidR="00973FE8" w:rsidRPr="00973FE8">
              <w:rPr>
                <w:color w:val="000000" w:themeColor="text1"/>
                <w:szCs w:val="26"/>
              </w:rPr>
              <w:t>»</w:t>
            </w:r>
            <w:r w:rsidRPr="00973FE8">
              <w:rPr>
                <w:color w:val="000000" w:themeColor="text1"/>
                <w:szCs w:val="26"/>
              </w:rPr>
              <w:t xml:space="preserve"> (для 2017 года)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0" w:type="dxa"/>
          </w:tcPr>
          <w:p w:rsidR="00871081" w:rsidRPr="007C3271" w:rsidRDefault="008D24A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>II. Методика расчета целевых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D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V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работ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>(для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работ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2018 - 2024 годов) (Д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работ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 - количество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E820EA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A521C"/>
    <w:rsid w:val="002B225B"/>
    <w:rsid w:val="002C0A10"/>
    <w:rsid w:val="002F5B57"/>
    <w:rsid w:val="003108F9"/>
    <w:rsid w:val="00317B13"/>
    <w:rsid w:val="00317E56"/>
    <w:rsid w:val="00361A33"/>
    <w:rsid w:val="00397411"/>
    <w:rsid w:val="00400E36"/>
    <w:rsid w:val="00456C94"/>
    <w:rsid w:val="00473FE0"/>
    <w:rsid w:val="004A2E7F"/>
    <w:rsid w:val="00513ED9"/>
    <w:rsid w:val="00566CCC"/>
    <w:rsid w:val="005C7D00"/>
    <w:rsid w:val="005E3A61"/>
    <w:rsid w:val="00682702"/>
    <w:rsid w:val="006B546C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75A7A"/>
    <w:rsid w:val="00990101"/>
    <w:rsid w:val="00A05C1B"/>
    <w:rsid w:val="00A11E6E"/>
    <w:rsid w:val="00A45D49"/>
    <w:rsid w:val="00A677A9"/>
    <w:rsid w:val="00A726A2"/>
    <w:rsid w:val="00A96CD7"/>
    <w:rsid w:val="00B0672C"/>
    <w:rsid w:val="00B12C89"/>
    <w:rsid w:val="00B51A90"/>
    <w:rsid w:val="00B84F4F"/>
    <w:rsid w:val="00BF4D0D"/>
    <w:rsid w:val="00C1407D"/>
    <w:rsid w:val="00C231D4"/>
    <w:rsid w:val="00C42020"/>
    <w:rsid w:val="00CA7591"/>
    <w:rsid w:val="00CB699A"/>
    <w:rsid w:val="00CC3E49"/>
    <w:rsid w:val="00CF4649"/>
    <w:rsid w:val="00D251BC"/>
    <w:rsid w:val="00D46980"/>
    <w:rsid w:val="00D64106"/>
    <w:rsid w:val="00DF01C2"/>
    <w:rsid w:val="00E07BFB"/>
    <w:rsid w:val="00E163CC"/>
    <w:rsid w:val="00E33BCE"/>
    <w:rsid w:val="00E67DE9"/>
    <w:rsid w:val="00E7185B"/>
    <w:rsid w:val="00E820EA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915C1FC711240D01CE710E6D24D30F1944F569CEA2CFF16D2909C2A7DDEA9976CF74584D329D2B128A73FED4099A64C4C812274EB1C564ED5EEEES7G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24915C1FC711240D01CE710E6D24D30F1944F569CEA2CFF16D2909C2A7DDEA9976CF74584D329D2B128A73FED4099A64C4C812274EB1C564ED5EEEES7G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4915C1FC711240D01CE710E6D24D30F1944F569CEA2CFF16D2909C2A7DDEA9976CF74584D329D2B129AC39E14099A64C4C812274EB1C564ED5EEEES7G9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Матросова Екатерина Юрьевна</cp:lastModifiedBy>
  <cp:revision>2</cp:revision>
  <dcterms:created xsi:type="dcterms:W3CDTF">2023-03-02T09:08:00Z</dcterms:created>
  <dcterms:modified xsi:type="dcterms:W3CDTF">2023-03-02T09:08:00Z</dcterms:modified>
</cp:coreProperties>
</file>