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BD" w:rsidRDefault="00D819BD" w:rsidP="00D819BD">
      <w:pPr>
        <w:tabs>
          <w:tab w:val="left" w:pos="567"/>
        </w:tabs>
        <w:ind w:left="11057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</w:p>
    <w:p w:rsidR="00D819BD" w:rsidRPr="00121840" w:rsidRDefault="00D819BD" w:rsidP="00D819BD">
      <w:pPr>
        <w:tabs>
          <w:tab w:val="left" w:pos="567"/>
        </w:tabs>
        <w:ind w:left="1105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121840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</w:p>
    <w:p w:rsidR="00D819BD" w:rsidRPr="00121840" w:rsidRDefault="00D819BD" w:rsidP="00D819BD">
      <w:pPr>
        <w:tabs>
          <w:tab w:val="left" w:pos="567"/>
        </w:tabs>
        <w:ind w:left="11057"/>
        <w:jc w:val="center"/>
        <w:rPr>
          <w:sz w:val="26"/>
          <w:szCs w:val="26"/>
        </w:rPr>
      </w:pPr>
      <w:r w:rsidRPr="00121840">
        <w:rPr>
          <w:sz w:val="26"/>
          <w:szCs w:val="26"/>
        </w:rPr>
        <w:t>Администрации города Вологды</w:t>
      </w:r>
    </w:p>
    <w:p w:rsidR="00D819BD" w:rsidRPr="00121840" w:rsidRDefault="00D819BD" w:rsidP="00D819BD">
      <w:pPr>
        <w:tabs>
          <w:tab w:val="left" w:pos="567"/>
        </w:tabs>
        <w:ind w:left="11057"/>
        <w:jc w:val="center"/>
        <w:rPr>
          <w:sz w:val="26"/>
          <w:szCs w:val="26"/>
        </w:rPr>
      </w:pPr>
      <w:r w:rsidRPr="00121840">
        <w:rPr>
          <w:sz w:val="26"/>
          <w:szCs w:val="26"/>
        </w:rPr>
        <w:t xml:space="preserve">от </w:t>
      </w:r>
      <w:r w:rsidR="00AA54D9">
        <w:rPr>
          <w:sz w:val="26"/>
          <w:szCs w:val="26"/>
        </w:rPr>
        <w:t>31.08.2023</w:t>
      </w:r>
      <w:r w:rsidRPr="00121840">
        <w:rPr>
          <w:sz w:val="26"/>
          <w:szCs w:val="26"/>
        </w:rPr>
        <w:t xml:space="preserve"> №</w:t>
      </w:r>
      <w:r w:rsidR="00AA54D9">
        <w:rPr>
          <w:sz w:val="26"/>
          <w:szCs w:val="26"/>
        </w:rPr>
        <w:t xml:space="preserve"> 1494</w:t>
      </w:r>
    </w:p>
    <w:p w:rsidR="008F1CAC" w:rsidRDefault="008F1CAC">
      <w:pPr>
        <w:rPr>
          <w:sz w:val="26"/>
          <w:szCs w:val="26"/>
        </w:rPr>
      </w:pPr>
    </w:p>
    <w:p w:rsidR="008F1CAC" w:rsidRDefault="00297344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Плановые значения показателей надежности, качества и энергетической эффективности  </w:t>
      </w:r>
    </w:p>
    <w:p w:rsidR="008F1CAC" w:rsidRDefault="00297344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объектов централизованных систем водоснабжения и водоотведения </w:t>
      </w:r>
    </w:p>
    <w:p w:rsidR="008F1CAC" w:rsidRDefault="00297344">
      <w:pPr>
        <w:ind w:left="77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 2 </w:t>
      </w:r>
    </w:p>
    <w:p w:rsidR="008F1CAC" w:rsidRDefault="008F1CAC">
      <w:pPr>
        <w:ind w:left="7740"/>
        <w:jc w:val="right"/>
        <w:rPr>
          <w:sz w:val="26"/>
          <w:szCs w:val="26"/>
        </w:rPr>
      </w:pPr>
    </w:p>
    <w:tbl>
      <w:tblPr>
        <w:tblW w:w="15358" w:type="dxa"/>
        <w:jc w:val="center"/>
        <w:tblInd w:w="-1686" w:type="dxa"/>
        <w:tblLayout w:type="fixed"/>
        <w:tblLook w:val="04A0" w:firstRow="1" w:lastRow="0" w:firstColumn="1" w:lastColumn="0" w:noHBand="0" w:noVBand="1"/>
      </w:tblPr>
      <w:tblGrid>
        <w:gridCol w:w="617"/>
        <w:gridCol w:w="8432"/>
        <w:gridCol w:w="1489"/>
        <w:gridCol w:w="992"/>
        <w:gridCol w:w="851"/>
        <w:gridCol w:w="992"/>
        <w:gridCol w:w="992"/>
        <w:gridCol w:w="993"/>
      </w:tblGrid>
      <w:tr w:rsidR="008F1CAC" w:rsidTr="00B40E77">
        <w:trPr>
          <w:trHeight w:val="495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№ п/п</w:t>
            </w:r>
          </w:p>
        </w:tc>
        <w:tc>
          <w:tcPr>
            <w:tcW w:w="8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Наименование показателя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Ед. изм.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Плановые значения</w:t>
            </w:r>
            <w:r w:rsidR="00B40E77">
              <w:rPr>
                <w:rFonts w:cs="Times New Roman"/>
                <w:sz w:val="26"/>
                <w:szCs w:val="26"/>
              </w:rPr>
              <w:t xml:space="preserve"> по годам</w:t>
            </w:r>
          </w:p>
        </w:tc>
      </w:tr>
      <w:tr w:rsidR="008F1CAC" w:rsidTr="00B40E77">
        <w:trPr>
          <w:trHeight w:val="330"/>
          <w:tblHeader/>
          <w:jc w:val="center"/>
        </w:trPr>
        <w:tc>
          <w:tcPr>
            <w:tcW w:w="6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CAC" w:rsidRDefault="008F1CA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CAC" w:rsidRDefault="008F1CA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CAC" w:rsidRDefault="008F1CA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2024</w:t>
            </w:r>
          </w:p>
          <w:p w:rsidR="00B40E77" w:rsidRDefault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2025</w:t>
            </w:r>
          </w:p>
          <w:p w:rsidR="00B40E77" w:rsidRDefault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2026</w:t>
            </w:r>
            <w:r w:rsidR="00B40E77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2027</w:t>
            </w:r>
            <w:r w:rsidR="00B40E77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2028</w:t>
            </w:r>
            <w:r w:rsidR="00B40E77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год</w:t>
            </w:r>
          </w:p>
        </w:tc>
      </w:tr>
      <w:tr w:rsidR="008F1CAC" w:rsidTr="00B40E77">
        <w:trPr>
          <w:trHeight w:val="330"/>
          <w:tblHeader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8</w:t>
            </w:r>
          </w:p>
        </w:tc>
      </w:tr>
      <w:tr w:rsidR="008F1CAC" w:rsidTr="00B40E77">
        <w:trPr>
          <w:trHeight w:val="49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474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8F1CAC" w:rsidTr="00B40E77">
        <w:trPr>
          <w:trHeight w:val="538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качества питьевой воды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8F1CAC" w:rsidTr="00B40E77">
        <w:trPr>
          <w:trHeight w:val="1127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1.1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питьевой воды, подаваемой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 источников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водоснабжения, в</w:t>
            </w:r>
            <w:r w:rsidR="00B40E77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допроводных станций в распределительную водопроводную сеть, не с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ответствующих установленным требованиям, в общем объеме проб, от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бранных по результатам производственного контроля качества питьевой воды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</w:tr>
      <w:tr w:rsidR="008F1CAC" w:rsidTr="00B40E77">
        <w:trPr>
          <w:trHeight w:val="102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1.2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вой воды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0,25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0,23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0,23</w:t>
            </w:r>
          </w:p>
        </w:tc>
      </w:tr>
      <w:tr w:rsidR="008F1CAC" w:rsidTr="00B40E77">
        <w:trPr>
          <w:trHeight w:val="508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147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 и бесперебойности водоснабжения</w:t>
            </w:r>
          </w:p>
        </w:tc>
      </w:tr>
      <w:tr w:rsidR="008F1CAC" w:rsidTr="00B40E77">
        <w:trPr>
          <w:trHeight w:val="155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lastRenderedPageBreak/>
              <w:t>2.1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Количество перерывов в подаче холодной воды, зафиксированных в м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стах исполнения обязательств организацией, осуществляющее холодное водоснабжение, по подаче воды, возникших в результате аварий, повр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ждений и иных технологических нарушений на объектах централизова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ной системы холодного водоснабжения, принадлежащих организации, осуществляющей холодное водоснабжение, в расчете на протяженность водопроводной сети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ед. в год/км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0,71</w:t>
            </w:r>
          </w:p>
        </w:tc>
      </w:tr>
      <w:tr w:rsidR="008F1CAC" w:rsidTr="00B40E77">
        <w:trPr>
          <w:trHeight w:val="482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147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энергетической эффективности</w:t>
            </w:r>
          </w:p>
        </w:tc>
      </w:tr>
      <w:tr w:rsidR="008F1CAC" w:rsidTr="00B40E77">
        <w:trPr>
          <w:trHeight w:val="78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3.1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22,12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22,10</w:t>
            </w:r>
          </w:p>
        </w:tc>
      </w:tr>
      <w:tr w:rsidR="008F1CAC" w:rsidTr="00B40E77">
        <w:trPr>
          <w:trHeight w:val="91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3.2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Удельный расход электрической энергии, потребляемой в технологич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ском процессе</w:t>
            </w:r>
            <w:r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подготовки и транспортировки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питьевой воды, на един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цу объема воды, отпускаемой в сеть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ind w:left="-80" w:right="-94" w:firstLine="14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кВт·ч/куб. м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0,530</w:t>
            </w:r>
          </w:p>
        </w:tc>
      </w:tr>
      <w:tr w:rsidR="008F1CAC" w:rsidTr="00B40E77">
        <w:trPr>
          <w:trHeight w:val="43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474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8F1CAC" w:rsidTr="00B40E77">
        <w:trPr>
          <w:trHeight w:val="43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147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качества очистки сточных вод</w:t>
            </w:r>
          </w:p>
        </w:tc>
      </w:tr>
      <w:tr w:rsidR="008F1CAC" w:rsidTr="00B40E77">
        <w:trPr>
          <w:trHeight w:val="55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4.1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сточных вод, не подвергающихся очистке в общем объеме сточных вод, сбрасываемых в централизованные общесплавные или бытовые с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стемы водоотведения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</w:tr>
      <w:tr w:rsidR="008F1CAC" w:rsidTr="00B40E77">
        <w:trPr>
          <w:trHeight w:val="76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4.2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сточных вод, не соответствующих установленным нормат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вам допустимых сбросов, лимитам на сбросы, рассчитанная для о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б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щесплавной (бытовой) централизованной системы водоотведения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32,30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28,98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25,65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22,33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19,00</w:t>
            </w:r>
          </w:p>
        </w:tc>
      </w:tr>
      <w:tr w:rsidR="008F1CAC" w:rsidTr="00B40E77">
        <w:trPr>
          <w:trHeight w:val="52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 и бесперебойности водоотведения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8F1CAC" w:rsidTr="00B40E77">
        <w:trPr>
          <w:trHeight w:val="51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5.1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Удельное количество </w:t>
            </w:r>
            <w:r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>аварий и засоров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в расчете на протяженность кан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а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лизационной сети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ед. в год/км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6,51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6,43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6,37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6,34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6,33</w:t>
            </w:r>
          </w:p>
        </w:tc>
      </w:tr>
      <w:tr w:rsidR="008F1CAC" w:rsidTr="00B40E77">
        <w:trPr>
          <w:trHeight w:val="4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lastRenderedPageBreak/>
              <w:t>6</w:t>
            </w:r>
          </w:p>
        </w:tc>
        <w:tc>
          <w:tcPr>
            <w:tcW w:w="147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энергетической эффективности</w:t>
            </w:r>
          </w:p>
        </w:tc>
      </w:tr>
      <w:tr w:rsidR="008F1CAC" w:rsidTr="00B40E77">
        <w:trPr>
          <w:trHeight w:val="7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6.1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Удельный расход электрической энергии, потребляемой в</w:t>
            </w:r>
            <w:r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технологич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ском процессе</w:t>
            </w:r>
            <w:r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транспортировки и очистки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сточных вод, на единицу об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ъ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ема транспортируемых (принятых) сточных вод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ind w:left="-66" w:right="-94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кВт·ч/куб. м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0,764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0,764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0,757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0,757</w:t>
            </w:r>
          </w:p>
        </w:tc>
      </w:tr>
      <w:tr w:rsidR="008F1CAC" w:rsidTr="00B40E77">
        <w:trPr>
          <w:trHeight w:val="522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47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надежности, качества, энергетической эффективности объектов централизованных систем водоотведения повер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х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ностных сточных вод</w:t>
            </w:r>
          </w:p>
        </w:tc>
      </w:tr>
      <w:tr w:rsidR="008F1CAC" w:rsidTr="00B40E77">
        <w:trPr>
          <w:trHeight w:val="491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1474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качества очистки сточных вод</w:t>
            </w:r>
          </w:p>
        </w:tc>
      </w:tr>
      <w:tr w:rsidR="008F1CAC" w:rsidTr="00B40E77">
        <w:trPr>
          <w:trHeight w:val="7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7.1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</w:tr>
      <w:tr w:rsidR="008F1CAC" w:rsidTr="00B40E77">
        <w:trPr>
          <w:trHeight w:val="7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7.2</w:t>
            </w:r>
          </w:p>
        </w:tc>
        <w:tc>
          <w:tcPr>
            <w:tcW w:w="84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сточных вод, не соответствующих установленным нормат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вам допустимых сбросов, лимитам на сбросы, рассчитанная для ливн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вой системы водоотведения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</w:tr>
    </w:tbl>
    <w:p w:rsidR="008F1CAC" w:rsidRDefault="008F1CAC">
      <w:pPr>
        <w:ind w:firstLine="567"/>
        <w:jc w:val="right"/>
        <w:rPr>
          <w:rFonts w:cs="Times New Roman"/>
          <w:sz w:val="26"/>
          <w:szCs w:val="26"/>
        </w:rPr>
      </w:pPr>
    </w:p>
    <w:p w:rsidR="008F1CAC" w:rsidRDefault="008F1CAC">
      <w:pPr>
        <w:widowControl/>
        <w:jc w:val="center"/>
        <w:rPr>
          <w:rFonts w:cs="Times New Roman"/>
          <w:sz w:val="26"/>
          <w:szCs w:val="26"/>
        </w:rPr>
      </w:pPr>
    </w:p>
    <w:p w:rsidR="008F1CAC" w:rsidRDefault="008F1CAC">
      <w:pPr>
        <w:widowControl/>
        <w:jc w:val="center"/>
        <w:rPr>
          <w:rFonts w:cs="Times New Roman"/>
          <w:sz w:val="26"/>
          <w:szCs w:val="26"/>
        </w:rPr>
      </w:pPr>
    </w:p>
    <w:p w:rsidR="008F1CAC" w:rsidRDefault="008F1CAC">
      <w:pPr>
        <w:widowControl/>
        <w:jc w:val="center"/>
        <w:rPr>
          <w:rFonts w:cs="Times New Roman"/>
          <w:sz w:val="26"/>
          <w:szCs w:val="26"/>
        </w:rPr>
      </w:pPr>
    </w:p>
    <w:p w:rsidR="008F1CAC" w:rsidRDefault="008F1CAC">
      <w:pPr>
        <w:widowControl/>
        <w:jc w:val="center"/>
        <w:rPr>
          <w:rFonts w:cs="Times New Roman"/>
          <w:sz w:val="26"/>
          <w:szCs w:val="26"/>
        </w:rPr>
      </w:pPr>
    </w:p>
    <w:p w:rsidR="008F1CAC" w:rsidRDefault="008F1CAC">
      <w:pPr>
        <w:widowControl/>
        <w:jc w:val="center"/>
        <w:rPr>
          <w:rFonts w:cs="Times New Roman"/>
          <w:sz w:val="26"/>
          <w:szCs w:val="26"/>
        </w:rPr>
      </w:pPr>
    </w:p>
    <w:p w:rsidR="008F1CAC" w:rsidRDefault="008F1CAC">
      <w:pPr>
        <w:widowControl/>
        <w:jc w:val="center"/>
        <w:rPr>
          <w:rFonts w:cs="Times New Roman"/>
          <w:sz w:val="26"/>
          <w:szCs w:val="26"/>
        </w:rPr>
      </w:pPr>
    </w:p>
    <w:p w:rsidR="008F1CAC" w:rsidRDefault="00297344">
      <w:pPr>
        <w:widowControl/>
        <w:rPr>
          <w:rFonts w:cs="Times New Roman"/>
          <w:sz w:val="26"/>
          <w:szCs w:val="26"/>
        </w:rPr>
      </w:pPr>
      <w:r>
        <w:br w:type="page"/>
      </w:r>
    </w:p>
    <w:p w:rsidR="008F1CAC" w:rsidRDefault="00297344">
      <w:pPr>
        <w:widowControl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Перечень мероприятий по строительству, модернизации и реконструкции объектов</w:t>
      </w:r>
    </w:p>
    <w:p w:rsidR="008F1CAC" w:rsidRDefault="00297344">
      <w:pPr>
        <w:ind w:firstLine="567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и график реализации плановых мероприятий</w:t>
      </w:r>
    </w:p>
    <w:p w:rsidR="008F1CAC" w:rsidRDefault="00297344">
      <w:pPr>
        <w:ind w:firstLine="567"/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Таблица 3</w:t>
      </w:r>
    </w:p>
    <w:p w:rsidR="008F1CAC" w:rsidRDefault="008F1CAC">
      <w:pPr>
        <w:rPr>
          <w:rFonts w:cs="Times New Roman"/>
          <w:sz w:val="26"/>
          <w:szCs w:val="26"/>
        </w:rPr>
      </w:pPr>
    </w:p>
    <w:tbl>
      <w:tblPr>
        <w:tblW w:w="49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39"/>
        <w:gridCol w:w="5644"/>
        <w:gridCol w:w="919"/>
        <w:gridCol w:w="861"/>
        <w:gridCol w:w="860"/>
        <w:gridCol w:w="979"/>
        <w:gridCol w:w="975"/>
        <w:gridCol w:w="4015"/>
      </w:tblGrid>
      <w:tr w:rsidR="008F1CAC" w:rsidTr="00FA66D4">
        <w:trPr>
          <w:trHeight w:val="426"/>
          <w:tblHeader/>
          <w:jc w:val="center"/>
        </w:trPr>
        <w:tc>
          <w:tcPr>
            <w:tcW w:w="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№ п/п</w:t>
            </w:r>
          </w:p>
        </w:tc>
        <w:tc>
          <w:tcPr>
            <w:tcW w:w="5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Название мероприятия</w:t>
            </w:r>
          </w:p>
        </w:tc>
        <w:tc>
          <w:tcPr>
            <w:tcW w:w="45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Процент выполнения по годам</w:t>
            </w:r>
          </w:p>
        </w:tc>
        <w:tc>
          <w:tcPr>
            <w:tcW w:w="39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Достигаемый в результате реализации мероприятия показатель надежности, качества и энергетической эффективности</w:t>
            </w:r>
          </w:p>
        </w:tc>
      </w:tr>
      <w:tr w:rsidR="00B40E77" w:rsidTr="00FA66D4">
        <w:trPr>
          <w:trHeight w:val="450"/>
          <w:tblHeader/>
          <w:jc w:val="center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0E77" w:rsidRDefault="00B40E77">
            <w:pPr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5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0E77" w:rsidRDefault="00B40E77">
            <w:pPr>
              <w:snapToGrid w:val="0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0E77" w:rsidRDefault="00B40E77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2024</w:t>
            </w:r>
          </w:p>
          <w:p w:rsidR="00B40E77" w:rsidRDefault="00B40E77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год</w:t>
            </w: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0E77" w:rsidRDefault="00B40E77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2025</w:t>
            </w:r>
          </w:p>
          <w:p w:rsidR="00B40E77" w:rsidRDefault="00B40E77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год</w:t>
            </w: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0E77" w:rsidRDefault="00B40E77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2026 год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E77" w:rsidRDefault="00B40E77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2027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0E77" w:rsidRDefault="00B40E77" w:rsidP="00B40E77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2028 год</w:t>
            </w:r>
          </w:p>
        </w:tc>
        <w:tc>
          <w:tcPr>
            <w:tcW w:w="395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B40E77" w:rsidRDefault="00B40E77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8F1CAC" w:rsidTr="00FA66D4">
        <w:trPr>
          <w:trHeight w:val="426"/>
          <w:tblHeader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5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2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8F1CAC" w:rsidTr="00FA66D4">
        <w:trPr>
          <w:trHeight w:val="300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ВОДОСНАБЖЕНИЕ</w:t>
            </w:r>
          </w:p>
        </w:tc>
      </w:tr>
      <w:tr w:rsidR="008F1CAC" w:rsidTr="00FA66D4">
        <w:trPr>
          <w:trHeight w:val="300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Строительство, модернизация и (или) реконструкция в целях подключения объектов капитального строительства абонентов</w:t>
            </w:r>
          </w:p>
        </w:tc>
      </w:tr>
      <w:tr w:rsidR="008F1CAC" w:rsidTr="00FA66D4">
        <w:trPr>
          <w:trHeight w:val="300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 1.1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 xml:space="preserve"> Строительство новых сетей водоснабжения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</w:t>
            </w:r>
          </w:p>
        </w:tc>
        <w:tc>
          <w:tcPr>
            <w:tcW w:w="55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водопровода D-100 мм L-20 п.м. для подключения объекта: «Административное здание  по ул. Новгородской в г. Вологде»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</w:t>
            </w:r>
          </w:p>
        </w:tc>
        <w:tc>
          <w:tcPr>
            <w:tcW w:w="55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B40E77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L-140 м для подключения объекта: «Индивидуальный жилой дом по ул. Заречной»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Pr="00B40E77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E77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B40E77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1.1.3</w:t>
            </w:r>
          </w:p>
        </w:tc>
        <w:tc>
          <w:tcPr>
            <w:tcW w:w="55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водопровода D-110 мм L-50 м для подключения объекта: «Многоквартирный жилой дом по ул. Левичева»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790B06">
        <w:trPr>
          <w:trHeight w:val="1282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1.1.4</w:t>
            </w:r>
          </w:p>
        </w:tc>
        <w:tc>
          <w:tcPr>
            <w:tcW w:w="55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L-105 м для подключения объекта: «Многоквартирный жилой дом по Февральскому переулку»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1.1.5</w:t>
            </w:r>
          </w:p>
        </w:tc>
        <w:tc>
          <w:tcPr>
            <w:tcW w:w="55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водопровода D-63 мм L-150 м для подключения объекта: «Склад по ул. Гагарина»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1.1.6</w:t>
            </w:r>
          </w:p>
        </w:tc>
        <w:tc>
          <w:tcPr>
            <w:tcW w:w="555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lastRenderedPageBreak/>
              <w:t>L-130 м для подключения объекта: «Многоквартирный жилой дом по ул. Псковской»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1.1.7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790B0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L-175 м для подключения объекта: «Многоквартирный жилой дом по Старому шоссе»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790B0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2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</w:t>
            </w:r>
            <w:r>
              <w:rPr>
                <w:rFonts w:cs="Times New Roman"/>
                <w:sz w:val="25"/>
                <w:szCs w:val="25"/>
                <w:vertAlign w:val="subscript"/>
              </w:rPr>
              <w:t>общ</w:t>
            </w:r>
            <w:r>
              <w:rPr>
                <w:rFonts w:cs="Times New Roman"/>
                <w:sz w:val="25"/>
                <w:szCs w:val="25"/>
              </w:rPr>
              <w:t>.-750 м для подключения объекта: «Жилищное строительство по ул. Чернышевского»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1.1.9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L-720 м для подключения объекта: «Строительство открытой площадки по Советскому проспекту»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1.1.10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L-350 м для подключения объекта: «Нежилое здание по Московскому шоссе»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водопровода D-110 мм L-20 м для подключения объекта: «Многоквартирный жилой дом по ул. Залинейной (вблизи земельного участка с кадастровым № 35:24:0102005:289)»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L-290 м для подключения объекта: «Многоквартирный жилой дом по ул. Залинейной»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L-130 м для подключения объекта: «Кирпичные гаражи по ул. Саммера»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1.1.14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L-140 м для подключения объекта: «Объект капитального строительства по ул. Саммера»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790B0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L-520 м для подключения объекта: </w:t>
            </w:r>
            <w:r w:rsidR="00391A0B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«Здание по ул. Северной»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391A0B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391A0B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L-130 м для подключения объекта: «Сельскохозяйственное предприятие по</w:t>
            </w:r>
            <w:r w:rsidR="00391A0B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 ул. Сухонской»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391A0B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391A0B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trHeight w:val="108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790B0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L-25 м для подключения объекта: «Многоэтажная жилая застройка по Раздельному переулку»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trHeight w:val="779"/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водопровода 2 D-225 мм общей длиной 1000 метров для подключения объекта: «Торгово-развлекательный центр, расположенный по адресу: г. Вологда, </w:t>
            </w:r>
            <w:r w:rsidR="00391A0B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Маршала Конева»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 1.2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Мероприятия по увеличению пропускной способности существующих сетей водоснабжения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790B0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водовода блока ОС 63 куб. тыс. м от реагентного хозяйства № 2 до блока № 2 D-800 мм L-331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4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водовода сырой воды от колодца ВК-57 до реагентного хозяйства № 2 D-1000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lastRenderedPageBreak/>
              <w:t>L-360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Снижение ежегодного числа аварий на участке сети с 2 ед. до 0 </w:t>
            </w:r>
            <w:r>
              <w:rPr>
                <w:rFonts w:cs="Times New Roman"/>
                <w:sz w:val="26"/>
                <w:szCs w:val="26"/>
              </w:rPr>
              <w:lastRenderedPageBreak/>
              <w:t>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1.2.3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водовода D-630 мм L-295 м по </w:t>
            </w:r>
            <w:r w:rsidR="00391A0B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Гоголя от ул. Добролюбова до ул. Самойло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391A0B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391A0B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6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водопровода D-630 мм L-205 м по ул. Прокатова, 3-5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3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системы подачи воды на ПНС-1 со строительством второго всасывающего трубопровода D-400 мм L-265 м по ул. Московской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1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Выполнение мероприятий по подготовке сетей водоснабжения для технологического присоединения к централизованной системе водоснабжения объектов капитального строительства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 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Строительство и реконструкция объектов централизованных систем водоснабжения, не связанных с подключением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2.1</w:t>
            </w:r>
            <w:r>
              <w:rPr>
                <w:rFonts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0080" w:type="dxa"/>
            <w:gridSpan w:val="6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новых сетей водоснабжения</w:t>
            </w:r>
          </w:p>
        </w:tc>
        <w:tc>
          <w:tcPr>
            <w:tcW w:w="395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8F1CAC" w:rsidRDefault="008F1CAC">
            <w:pPr>
              <w:pStyle w:val="af4"/>
              <w:snapToGrid w:val="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2.1.1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водопровода D-225 мм вдоль Осановского проезда от ПНС на ул. Осаново до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Конева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переключения застройки в д. Емельяново к централизованной системе водоснабжения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2.1.2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водопровода D-225 мм по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ул. Петровской в д. Емельяново от ул. Новой до </w:t>
            </w:r>
            <w:r>
              <w:rPr>
                <w:rFonts w:cs="Times New Roman"/>
                <w:sz w:val="25"/>
                <w:szCs w:val="25"/>
              </w:rPr>
              <w:lastRenderedPageBreak/>
              <w:t>водонапорной башни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>
              <w:rPr>
                <w:rFonts w:cs="Times New Roman"/>
                <w:sz w:val="26"/>
                <w:szCs w:val="26"/>
              </w:rPr>
              <w:lastRenderedPageBreak/>
              <w:t>переключения застройки в д. Емельяново к централизованной системе водоснабжения</w:t>
            </w:r>
          </w:p>
        </w:tc>
      </w:tr>
      <w:tr w:rsidR="008F1CAC" w:rsidTr="00FA66D4">
        <w:trPr>
          <w:trHeight w:val="302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2.1.3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ПНС по ул. Архангельская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требуемого напора в водопроводной сети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2.1.4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ПНС по ул. Ягодная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требуемого напора в водопроводной сети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2.</w:t>
            </w:r>
            <w:r>
              <w:rPr>
                <w:rFonts w:cs="Times New Roman"/>
                <w:sz w:val="26"/>
                <w:szCs w:val="26"/>
              </w:rPr>
              <w:t>1.5</w:t>
            </w:r>
          </w:p>
        </w:tc>
        <w:tc>
          <w:tcPr>
            <w:tcW w:w="5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водопроводных сетей D-200 мм в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IV мкр. ПЗ от ПНС-36 (L=400 м)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790B06">
              <w:rPr>
                <w:rFonts w:cs="Times New Roman"/>
                <w:sz w:val="26"/>
                <w:szCs w:val="26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790B0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3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Обеспечение возможности разделения подачи воды 5-ти и </w:t>
            </w:r>
            <w:r w:rsidR="00790B06">
              <w:rPr>
                <w:rFonts w:cs="Times New Roman"/>
                <w:sz w:val="26"/>
                <w:szCs w:val="26"/>
              </w:rPr>
              <w:br/>
            </w:r>
            <w:r>
              <w:rPr>
                <w:rFonts w:cs="Times New Roman"/>
                <w:sz w:val="26"/>
                <w:szCs w:val="26"/>
              </w:rPr>
              <w:t>9-12-ти этажной застройки от разных групп насосов ПНС-36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 2.2.1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Модернизация или реконструкция существующих объектов водоснабжения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2.2.1.1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ПНС-19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расхода электроэнергии на 116 тыс.кВт*ч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2.2.1.2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ПНС-52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расхода электроэнергии на 116 тыс.кВт*ч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2.2.1.3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ПНС-33, ул. Возрождения, 82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расхода электроэнергии на 116 тыс.кВт*ч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2.2.1.4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Техническое перевооружение оборудования водоподготовки на ОСВ, ул. Александра Клубова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Повышение надежности работы оборудования ОСВ</w:t>
            </w:r>
          </w:p>
        </w:tc>
      </w:tr>
      <w:tr w:rsidR="008F1CAC" w:rsidTr="00234036">
        <w:trPr>
          <w:trHeight w:val="723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 2.2.2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водоснабжения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2.2.2.1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ВОС г. Вологды с увеличением производительности до </w:t>
            </w:r>
            <w:r w:rsidRPr="00FA66D4">
              <w:rPr>
                <w:rFonts w:cs="Times New Roman"/>
                <w:sz w:val="25"/>
                <w:szCs w:val="25"/>
              </w:rPr>
              <w:t>1</w:t>
            </w:r>
            <w:r>
              <w:rPr>
                <w:rFonts w:cs="Times New Roman"/>
                <w:sz w:val="25"/>
                <w:szCs w:val="25"/>
              </w:rPr>
              <w:t>75 тыс. м3/сутки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19,7 %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36,3 %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21,5 %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22,5 %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доли проб питьевой воды, подаваемой в распределительную сеть, не соответствующих установленным требованиям, до 0</w:t>
            </w:r>
          </w:p>
        </w:tc>
      </w:tr>
      <w:tr w:rsidR="008F1CAC" w:rsidTr="00FA66D4">
        <w:trPr>
          <w:trHeight w:val="400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2.2.2.2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водопровода D-225 мм L-625 п.м. по ул. Пригородной – Беляева - Дзержинского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количества проб питьевой воды на участке сети, не соответствующих установленным требованиям, с 15 до 0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2.2.2.3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водопровода по ул. Железнодорожной от жилого дома № 56 по ул. Железнодорожная до ул. Колхозной D-300 мм L-600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количества проб питьевой воды на участке сети, не соответствующих установленным требованиям, с 0,8 до 0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2.2.2.4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ПНС по ул. Осаново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требуемого напора в водопроводной сети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2.2.2.5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водовода по ул. Чехова от жилого дома №1 по ул. Чехова до ул. Предтеченской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D-600 мм L-1550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45 %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количества проб питьевой воды на участке сети, не соответствующих установленным требованиям, с 1 до 0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Мероприятия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2.3.1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Выполнение работ по реализации проекта по объекту «Плотина на реке Вологде, установка КИА (контрольно-измерительной аппаратуры)»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shd w:val="clear" w:color="auto" w:fill="FFFFFF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надлежащего контроля и надёжной оценки состояния сооружения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10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Прочие направления использования средств амортизационного фонда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8F1CAC">
            <w:pPr>
              <w:pStyle w:val="af4"/>
              <w:snapToGrid w:val="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Приобретение техники и оборудования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Повышение надежности оборудования системы водоснабжения, обновление парка специализированной техники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ВОДООТВЕДЕНИЕ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Строительство новых сетей водоотведения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L-60 метров для подключения  жилого комплекса «Новгородский» в г. Вологде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D-200 мм L-66 м для подключения объекта «Многоквартирный жилой дом № 78 А по ул. Кирова в городе Вологде»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D-200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L-135 м для подключения объекта «Многоквартирный жилой дом по ул. Варенцовой»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L-65 м </w:t>
            </w:r>
            <w:r>
              <w:rPr>
                <w:rFonts w:cs="Times New Roman"/>
                <w:sz w:val="25"/>
                <w:szCs w:val="25"/>
              </w:rPr>
              <w:lastRenderedPageBreak/>
              <w:t>для подключения объекта «Индивидуальный жилой дом по ул. Образцова»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8F1CAC" w:rsidTr="00FA66D4">
        <w:trPr>
          <w:trHeight w:val="507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1.1.5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D-200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L-245 м для подключения объекта «Индивидуальный жилой дом по ул. Заречной»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790B06">
        <w:trPr>
          <w:trHeight w:val="1313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790B0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длиной 45 м для подключения объекта «Индивидуальный жилой дом по  Индивидуальному переулку»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L-95 м для подключения объекта «Магазин по ул. Карла Маркса»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790B0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  <w:lang w:val="en-US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L-135 м для подключения объекта «Многоквартирный жилой дом по ул. Панкратова»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1.1.9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L-37 м для подключения объекта «Многоквартирный жилой дом по ул. Гагарина»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1.1.10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L-134 м для подключения объекта «Малоэтажный многоквартирный жилой дом по ул. Панкратова»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L-105 м для подключения объекта «Склад по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Гагарина»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1.1.12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L-300 м для подключения объекта «Многоквартирный жилой дом по Старому шоссе»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D-200 мм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 L-730 м для подключения объекта «Жилищное строительство по ул. Чернышевского»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L-250 м для подключения объекта «Многоквартирный жилой дом по ул. Сухонской»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L-130 м для подключения объекта «Объект промышленного назначения по Советскому проспекту»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trHeight w:val="585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L-120 м для подключения объекта «Многоквартирный жилой дом по ул. Залинейной (вблизи з/у с кадастровым  № 35:24:0102005:289)»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L-250 м для подключения объекта «Многоквартирный жилой дом по ул. Залинейной»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L-340 м для подключения объекта «Объект по ремонту автомобилей по ул. Добролюбова»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1.1.19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L-130 м для подключения объекта «Кирпичные </w:t>
            </w:r>
            <w:r>
              <w:rPr>
                <w:rFonts w:cs="Times New Roman"/>
                <w:sz w:val="25"/>
                <w:szCs w:val="25"/>
              </w:rPr>
              <w:lastRenderedPageBreak/>
              <w:t>гаражи по ул. Саммера»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1.1.20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L-140 м для подключения объекта «Объект капитального строительства по ул. Саммера»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L-520 м для подключения объекта «Здание по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Северной»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790B06">
        <w:trPr>
          <w:trHeight w:val="1027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L-82 м для подключения объекта «Многоквартирный жилой дом по Узкому переулку»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L-60 м для подключения объекта «Многоквартирный жилой дом по ул. Четряковской»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790B06">
        <w:trPr>
          <w:trHeight w:val="1312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L-160 м для подключения объекта «Сельскохозяйственное предприятие по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Сухонской»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D-200 мм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L-275 м для подключения объекта «Многоквартирный жилой дом по </w:t>
            </w:r>
            <w:r w:rsidR="00790B0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Чернышевского»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trHeight w:val="496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L-25 м для подключения объекта «Многоэтажная жилая </w:t>
            </w:r>
            <w:r>
              <w:rPr>
                <w:rFonts w:cs="Times New Roman"/>
                <w:sz w:val="25"/>
                <w:szCs w:val="25"/>
              </w:rPr>
              <w:lastRenderedPageBreak/>
              <w:t>застройка по Раздельному переулку»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1.1.27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сетей канализации D-160 мм L-60 м для подключения объекта «Индивидуальный жилой дом по ул. Охмыльцевской»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канализации D-225 мм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L-500 м для подключения объекта: «Торгово-развлекательный центр, расположенный по адресу: г. Вологда, ул. Маршала Конева»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1.1.29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канализации D-160 мм L-48 м для подключения объекта: «Многоквартирный жилой дом по ул. Бурмагиных в г. Вологде»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Мероприятия по увеличению пропускной способности существующих сетей водоотведения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производительности КНС-1 на 25%, повышение энергоэффективности оборудования</w:t>
            </w:r>
          </w:p>
        </w:tc>
      </w:tr>
      <w:tr w:rsidR="008F1CAC" w:rsidTr="00FA66D4">
        <w:trPr>
          <w:trHeight w:val="928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производительности КНС-1 на 30%, повышение энергоэффективности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участка канализации с. Молочное от ул. Комсомольской до ул.</w:t>
            </w:r>
            <w:r>
              <w:rPr>
                <w:rFonts w:cs="Times New Roman"/>
                <w:sz w:val="25"/>
                <w:szCs w:val="25"/>
                <w:lang w:val="en-US"/>
              </w:rPr>
              <w:t> </w:t>
            </w:r>
            <w:r>
              <w:rPr>
                <w:rFonts w:cs="Times New Roman"/>
                <w:sz w:val="25"/>
                <w:szCs w:val="25"/>
              </w:rPr>
              <w:t>Советская-Панкратова D-500 мм L-770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2 ед. до 0 ед., увеличение пропускной способности сети  на 40%</w:t>
            </w:r>
          </w:p>
        </w:tc>
      </w:tr>
      <w:tr w:rsidR="008F1CAC" w:rsidTr="00234036">
        <w:trPr>
          <w:trHeight w:val="1012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канализации D-200 мм L-38 п.м. по ул. Гагарина (участок сети Д-150 мм L-38 п.м. между жилыми домами по ул. Гагарина, 33, 35)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8F1CAC" w:rsidTr="00FA66D4">
        <w:trPr>
          <w:trHeight w:val="561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канализации D-200 мм L-180 п.м. по ул. Можайского для осуществления возможности подключения к сетям канализации объектов по ул. Можайского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напорной канализации D-600 мм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L-120 м с устройством дюкера от КНС-1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Мира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6 ед. до 0 ед.</w:t>
            </w:r>
          </w:p>
        </w:tc>
      </w:tr>
      <w:tr w:rsidR="008F1CAC" w:rsidTr="00234036">
        <w:trPr>
          <w:trHeight w:val="990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  <w:highlight w:val="yellow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сетей канализации D-200 мм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-266 м от жилого дома 112 Б по ул. Чернышевского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cs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  <w:shd w:val="clear" w:color="auto" w:fill="FFFFFF"/>
              </w:rPr>
            </w:pPr>
            <w:r>
              <w:rPr>
                <w:rFonts w:cs="Times New Roman"/>
                <w:bCs/>
                <w:sz w:val="25"/>
                <w:szCs w:val="25"/>
                <w:shd w:val="clear" w:color="auto" w:fill="FFFFFF"/>
              </w:rPr>
              <w:t>Строительство и реконструкция объектов централизованных систем водоотведения, не связанных с подключением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cs="Times New Roman"/>
                <w:sz w:val="26"/>
                <w:szCs w:val="26"/>
                <w:shd w:val="clear" w:color="auto" w:fill="FFFFFF"/>
              </w:rPr>
              <w:t>2.1</w:t>
            </w:r>
          </w:p>
        </w:tc>
        <w:tc>
          <w:tcPr>
            <w:tcW w:w="14033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  <w:shd w:val="clear" w:color="auto" w:fill="FFFFFF"/>
              </w:rPr>
            </w:pPr>
            <w:r>
              <w:rPr>
                <w:rFonts w:cs="Times New Roman"/>
                <w:bCs/>
                <w:sz w:val="25"/>
                <w:szCs w:val="25"/>
                <w:shd w:val="clear" w:color="auto" w:fill="FFFFFF"/>
              </w:rPr>
              <w:t>Строительство новых сетей водоотведения, не связанных с подключением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cs="Times New Roman"/>
                <w:sz w:val="26"/>
                <w:szCs w:val="26"/>
                <w:shd w:val="clear" w:color="auto" w:fill="FFFFFF"/>
              </w:rPr>
              <w:t>2.1.1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  <w:shd w:val="clear" w:color="auto" w:fill="FFFFFF"/>
              </w:rPr>
            </w:pPr>
            <w:r>
              <w:rPr>
                <w:rFonts w:cs="Times New Roman"/>
                <w:sz w:val="25"/>
                <w:szCs w:val="25"/>
                <w:shd w:val="clear" w:color="auto" w:fill="FFFFFF"/>
              </w:rPr>
              <w:t>Строительство напорной канализации от КНС-21 в п. Ананьино в городе Вологде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cs="Times New Roman"/>
                <w:sz w:val="26"/>
                <w:szCs w:val="26"/>
                <w:shd w:val="clear" w:color="auto" w:fill="FFFFFF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15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Строительство объектов систем водоотведения, не связанных с подключением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Проектирование и строительство разгрузочной канализационной сети по ул. Вологодской и Михаила Поповича D-300мм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19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Модернизация или реконструкция существующих объектов централизованных систем водоотведения в целях снижения уровня износа существующих объектов</w:t>
            </w:r>
          </w:p>
        </w:tc>
      </w:tr>
      <w:tr w:rsidR="008F1CAC" w:rsidTr="00FA66D4">
        <w:trPr>
          <w:trHeight w:val="489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2.3.1</w:t>
            </w:r>
          </w:p>
        </w:tc>
        <w:tc>
          <w:tcPr>
            <w:tcW w:w="14033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Модернизация или реконструкция существующих сетей водоотведения в целях снижения уровня износа существующих объектов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2.3.1.1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канализационного коллектора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D- 600 мм по ул. Ленинградской от ул.</w:t>
            </w:r>
            <w:r>
              <w:rPr>
                <w:rFonts w:cs="Times New Roman"/>
                <w:sz w:val="25"/>
                <w:szCs w:val="25"/>
                <w:lang w:val="en-US"/>
              </w:rPr>
              <w:t> </w:t>
            </w:r>
            <w:r>
              <w:rPr>
                <w:rFonts w:cs="Times New Roman"/>
                <w:sz w:val="25"/>
                <w:szCs w:val="25"/>
              </w:rPr>
              <w:t>Ленинградской, 85 до КНС-2  L-1700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4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2.3.1.2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канализационного коллектора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D-600 мм вдоль ул. Железнодорожной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1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2.3.1.3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самотечной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Луначарского, Рыбной D-300-600 мм L-1225</w:t>
            </w:r>
            <w:r w:rsidR="00234036">
              <w:rPr>
                <w:rFonts w:cs="Times New Roman"/>
                <w:sz w:val="25"/>
                <w:szCs w:val="25"/>
              </w:rPr>
              <w:t xml:space="preserve"> </w:t>
            </w:r>
            <w:r>
              <w:rPr>
                <w:rFonts w:cs="Times New Roman"/>
                <w:sz w:val="25"/>
                <w:szCs w:val="25"/>
              </w:rPr>
              <w:t>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65 %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28 ед. до 0 ед.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2.3.1.4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самотечного коллектора D-900 мм L-1560 м по ул. Маршала Конева от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Воркутинской до ул. Герцена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 уровня износа коллектора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Модернизация или реконструкция существующих объектов водоотведения в целях снижения уровня износа существующих объектов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2.3.2.1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КНС-16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2.3.2.2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КНС-14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2.3.2.3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КНС-15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2.3.2.4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КНС-12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2.3.2.5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КНС-21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2.3.3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водоотведения</w:t>
            </w:r>
          </w:p>
        </w:tc>
      </w:tr>
      <w:tr w:rsidR="008F1CAC" w:rsidTr="00234036">
        <w:trPr>
          <w:trHeight w:val="713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2.3.3.1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дренажных насосных станций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2.3.3.2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РНС-1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234036">
        <w:trPr>
          <w:trHeight w:val="735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2.3.3.3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  <w:lang w:val="en-US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КНС-6</w:t>
            </w:r>
          </w:p>
          <w:p w:rsidR="008F1CAC" w:rsidRDefault="008F1CAC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  <w:lang w:val="en-US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75 %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2.3.3.4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вторичного отстойника с заменой илососа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Повышение качества очистки сточных вод, снижение доли проб сточной воды, не соответствующих установленным нормативам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2.3.3.5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23403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Модернизация системы теплоснабжения и повышенной теплоэффективности ОСК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Снижение ежегодного расхода теплоэнергии на 35 Гкал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234036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2.3.3.6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Замена высоковольтных масляных выключателей, ячеек на вакуумные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2.4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Мероприятия по защите 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2.4.1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второго напорного коллектора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от КНС-13 по ул. Петина до коллектора № 13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L-1295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65 %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snapToGrid w:val="0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Приведение работы системы канализации к </w:t>
            </w:r>
            <w:r>
              <w:rPr>
                <w:rFonts w:cs="Times New Roman"/>
                <w:sz w:val="26"/>
                <w:szCs w:val="26"/>
                <w:lang w:val="en-US"/>
              </w:rPr>
              <w:t>I</w:t>
            </w:r>
            <w:r>
              <w:rPr>
                <w:rFonts w:cs="Times New Roman"/>
                <w:sz w:val="26"/>
                <w:szCs w:val="26"/>
              </w:rPr>
              <w:t xml:space="preserve"> категории по надежности действия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2.4.2.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напорной канализации от КНС-1 по ул. Мира до ул. Козленской D-600 мм L-650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snapToGrid w:val="0"/>
              <w:contextualSpacing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Приведение работы системы канализации к </w:t>
            </w:r>
            <w:r>
              <w:rPr>
                <w:rFonts w:cs="Times New Roman"/>
                <w:sz w:val="26"/>
                <w:szCs w:val="26"/>
                <w:lang w:val="en-US"/>
              </w:rPr>
              <w:t>I</w:t>
            </w:r>
            <w:r>
              <w:rPr>
                <w:rFonts w:cs="Times New Roman"/>
                <w:sz w:val="26"/>
                <w:szCs w:val="26"/>
              </w:rPr>
              <w:t xml:space="preserve"> категории по надежности действия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Прочие направления использования средств амортизационного фонда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Приобретение техники и оборудования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18,6 %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18,7 %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Повышение надежности оборудования системы водоотведения, обновление парка специализированной техники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ВОДООТВЕДЕНИЕ ПОВЕРХНОСТНЫХ СТОЧНЫХ ВОД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033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Строительство, модернизация и (или) реконструкция в целях подключения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 </w:t>
            </w:r>
            <w:r>
              <w:rPr>
                <w:rFonts w:cs="Times New Roman"/>
                <w:sz w:val="26"/>
                <w:szCs w:val="26"/>
                <w:lang w:val="en-US"/>
              </w:rPr>
              <w:t>1</w:t>
            </w:r>
            <w:r>
              <w:rPr>
                <w:rFonts w:cs="Times New Roman"/>
                <w:sz w:val="26"/>
                <w:szCs w:val="26"/>
              </w:rPr>
              <w:t>.1</w:t>
            </w:r>
          </w:p>
        </w:tc>
        <w:tc>
          <w:tcPr>
            <w:tcW w:w="14033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новых сетей водоотведения поверхностных сточных вод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</w:rPr>
              <w:t>1.1</w:t>
            </w:r>
            <w:r>
              <w:rPr>
                <w:rFonts w:cs="Times New Roman"/>
                <w:sz w:val="26"/>
                <w:szCs w:val="26"/>
                <w:lang w:val="en-US"/>
              </w:rPr>
              <w:t>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L-170 м для подключения объекта «Поликлиника по ул. Воркутинской»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L-80 м для подключения объекта «Многоквартирный жилой дом по ул. Левичева»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L-130 м для подключения объекта «Многоэтажная жилая застройка по ул. Пугачева»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L-150 м для подключения объекта «Многоквартирный жилой дом по Набережной 6 Армии»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  <w:lang w:val="en-US"/>
              </w:rPr>
              <w:t>1.</w:t>
            </w: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L-270 м для подключения объекта «Многоквартирный жилой дом по ул. Западной»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L-310 м для подключения объекта «Склад по ул. Гагарина»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23403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L-170 м для подключения объекта «Бассейн по Осановскому проезду»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234036">
        <w:trPr>
          <w:trHeight w:val="1063"/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  <w:lang w:val="en-US"/>
              </w:rPr>
              <w:t>1.</w:t>
            </w:r>
            <w:r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D-200 мм L-950 м для подключения объекта «Жилищное строительство по ул. Чернышевского»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1.1.9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D-200 мм L-100 м для подключения объекта «Многоквартирный жилой дом по 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Чернышевского»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234036">
        <w:trPr>
          <w:trHeight w:val="962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1.1.10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L-400 м для подключения объекта «Склад по ул. Сухонской»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1.1.11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L-280 м для подключения объекта «Многоквартирный жилой дом по ул. Залинейной»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234036">
        <w:trPr>
          <w:trHeight w:val="1242"/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1.1.12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D-250 мм L-125 м для подключения объекта «Многоквартирный жилой дом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Четряковской»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1.1.13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L-160 м для подключения объекта «Торговый центр по ул. Чернышевского»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1.1.14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D-250 мм L-200 м для подключения объекта «Малоэтажная жилая застройка по ул. Гоголя»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highlight w:val="yellow"/>
              </w:rPr>
            </w:pPr>
            <w:r>
              <w:rPr>
                <w:rFonts w:cs="Times New Roman"/>
                <w:b/>
                <w:sz w:val="26"/>
                <w:szCs w:val="26"/>
              </w:rPr>
              <w:t> </w:t>
            </w: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Мероприятия по увеличению пропускной способности существующих сетей водоснабжения поверхностных сточных вод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1.2.1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сети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ул. Гончарной от Гагарина до дома № 4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Гончарной D-400 мм L-260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L-290 м D=250-315 мм с увеличением диаметра до 500 мм по ул. Восточной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60%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2.3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сетей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L-692 м D-200 мм с увеличением диаметра до 500 мм по ул. Архангельской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70%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</w:t>
            </w:r>
            <w:r>
              <w:rPr>
                <w:rFonts w:cs="Times New Roman"/>
                <w:sz w:val="26"/>
                <w:szCs w:val="26"/>
              </w:rPr>
              <w:t>2.4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ливневой канализации D-1000 мм </w:t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-110 м в районе перекрестка ул.</w:t>
            </w:r>
            <w:r>
              <w:rPr>
                <w:rFonts w:cs="Times New Roman"/>
                <w:sz w:val="25"/>
                <w:szCs w:val="25"/>
                <w:lang w:val="en-US"/>
              </w:rPr>
              <w:t> </w:t>
            </w:r>
            <w:r>
              <w:rPr>
                <w:rFonts w:cs="Times New Roman"/>
                <w:sz w:val="25"/>
                <w:szCs w:val="25"/>
              </w:rPr>
              <w:t>Ленинградская - Петина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участков ливневой канализации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D-500 мм </w:t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-200 м по ул. Можайского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40%</w:t>
            </w:r>
          </w:p>
        </w:tc>
      </w:tr>
      <w:tr w:rsidR="008F1CAC" w:rsidTr="00234036">
        <w:trPr>
          <w:trHeight w:val="13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  <w:lang w:val="en-US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ливневой канализации D-300 мм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-300 м по ул. Некрасова от ул.</w:t>
            </w:r>
            <w:r>
              <w:rPr>
                <w:rFonts w:cs="Times New Roman"/>
                <w:sz w:val="25"/>
                <w:szCs w:val="25"/>
                <w:lang w:val="en-US"/>
              </w:rPr>
              <w:t> </w:t>
            </w:r>
            <w:r>
              <w:rPr>
                <w:rFonts w:cs="Times New Roman"/>
                <w:sz w:val="25"/>
                <w:szCs w:val="25"/>
              </w:rPr>
              <w:t>Комсомольской до существующей ливневой канализации от здания по ул.</w:t>
            </w:r>
            <w:r>
              <w:rPr>
                <w:rFonts w:cs="Times New Roman"/>
                <w:sz w:val="25"/>
                <w:szCs w:val="25"/>
                <w:lang w:val="en-US"/>
              </w:rPr>
              <w:t> </w:t>
            </w:r>
            <w:r>
              <w:rPr>
                <w:rFonts w:cs="Times New Roman"/>
                <w:sz w:val="25"/>
                <w:szCs w:val="25"/>
              </w:rPr>
              <w:t>Чернышевского, 43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30%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1.2.7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сети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ул. Пушкинской от ул. Козленской до выпуска в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р. Содема D-300 мм </w:t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-400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30%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1.2.8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сети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Чернышевского от ул. Гоголя до ул.</w:t>
            </w:r>
            <w:r>
              <w:rPr>
                <w:rFonts w:cs="Times New Roman"/>
                <w:sz w:val="25"/>
                <w:szCs w:val="25"/>
                <w:lang w:val="en-US"/>
              </w:rPr>
              <w:t> </w:t>
            </w:r>
            <w:r>
              <w:rPr>
                <w:rFonts w:cs="Times New Roman"/>
                <w:sz w:val="25"/>
                <w:szCs w:val="25"/>
              </w:rPr>
              <w:t>Карла Маркса D</w:t>
            </w:r>
            <w:r>
              <w:rPr>
                <w:rFonts w:cs="Times New Roman"/>
                <w:sz w:val="25"/>
                <w:szCs w:val="25"/>
                <w:lang w:val="en-US"/>
              </w:rPr>
              <w:t>-</w:t>
            </w:r>
            <w:r>
              <w:rPr>
                <w:rFonts w:cs="Times New Roman"/>
                <w:sz w:val="25"/>
                <w:szCs w:val="25"/>
              </w:rPr>
              <w:t xml:space="preserve">300 мм </w:t>
            </w:r>
            <w:r>
              <w:rPr>
                <w:rFonts w:cs="Times New Roman"/>
                <w:sz w:val="25"/>
                <w:szCs w:val="25"/>
                <w:lang w:val="en-US"/>
              </w:rPr>
              <w:t>L-</w:t>
            </w:r>
            <w:r>
              <w:rPr>
                <w:rFonts w:cs="Times New Roman"/>
                <w:sz w:val="25"/>
                <w:szCs w:val="25"/>
              </w:rPr>
              <w:t>730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20 %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80 %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Увеличение пропускной способности сети  на 40%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Строительство новых сетей водоотведения поверхностных сточных вод,</w:t>
            </w:r>
            <w:r>
              <w:rPr>
                <w:rStyle w:val="1"/>
                <w:rFonts w:eastAsia="Times New Roman" w:cs="Times New Roman"/>
                <w:sz w:val="25"/>
                <w:szCs w:val="25"/>
              </w:rPr>
              <w:t xml:space="preserve"> </w:t>
            </w:r>
            <w:r>
              <w:rPr>
                <w:rStyle w:val="a5"/>
                <w:rFonts w:eastAsia="Times New Roman" w:cs="Times New Roman"/>
                <w:b w:val="0"/>
                <w:sz w:val="25"/>
                <w:szCs w:val="25"/>
              </w:rPr>
              <w:t>не связанных с подключением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Петина от ул. Гагарина до ул. Ленинградской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23403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ул. Панкратова д=300 мм L=300 м и д=400 мм L=220 м  от ул. Южакова до ул. Петина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D-300 мм L-280 м по ул. Гагарина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(от ул. Республиканской до ул. Петина)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ливневой канализации D-500 мм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-600 м по ул. Петина от ул.</w:t>
            </w:r>
            <w:r>
              <w:rPr>
                <w:rFonts w:cs="Times New Roman"/>
                <w:sz w:val="25"/>
                <w:szCs w:val="25"/>
                <w:lang w:val="en-US"/>
              </w:rPr>
              <w:t> </w:t>
            </w:r>
            <w:r>
              <w:rPr>
                <w:rFonts w:cs="Times New Roman"/>
                <w:sz w:val="25"/>
                <w:szCs w:val="25"/>
              </w:rPr>
              <w:t>Преображенского до ул. Гагарина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90 %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2.5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 w:rsidP="00234036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ул. М. Ульяновой от пл. Революции до ул. Герцена D-300 мм </w:t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-440м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2.6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Строительство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ул. Южакова от ул. Панкратова до ул. Гагарина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D-300 мм </w:t>
            </w:r>
            <w:r>
              <w:rPr>
                <w:rFonts w:cs="Times New Roman"/>
                <w:sz w:val="25"/>
                <w:szCs w:val="25"/>
                <w:lang w:val="en-US"/>
              </w:rPr>
              <w:t>L</w:t>
            </w:r>
            <w:r>
              <w:rPr>
                <w:rFonts w:cs="Times New Roman"/>
                <w:sz w:val="25"/>
                <w:szCs w:val="25"/>
              </w:rPr>
              <w:t>-610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25 %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75 %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Реконструкция объектов системы водоотведения поверхностных сточных вод, не связанных с подключением объектов капитального строительства абонентов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3.1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ливневой канализации по пр. Победы от ул. Мира до ул. Батюшкова d=300 мм l=280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3.2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ливневой канализации D-400 мм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L-760 м по ул. Комсомольской от ул. Некрасова до реки Вологда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3.3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ливневой канализации по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 xml:space="preserve">ул. Водников от ул. Разина до ул. Пугачева </w:t>
            </w:r>
            <w:r w:rsidR="00234036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D-300 мм L-170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Pr="00234036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34036">
              <w:rPr>
                <w:rFonts w:cs="Times New Roman"/>
                <w:sz w:val="26"/>
                <w:szCs w:val="26"/>
              </w:rPr>
              <w:t>3.4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Реконструкция ливневой канализации от жилого дома по  ул. Разина, 60а до ул. Пугачева D-300 мм L-140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  <w:tr w:rsidR="008F1CAC" w:rsidTr="00FA66D4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3.5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 w:rsidP="00B40E77">
            <w:pPr>
              <w:pStyle w:val="af4"/>
              <w:snapToGrid w:val="0"/>
              <w:jc w:val="both"/>
              <w:rPr>
                <w:rFonts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 xml:space="preserve">Реконструкция выпуска ливневой канализации </w:t>
            </w:r>
            <w:r w:rsidR="00391A0B">
              <w:rPr>
                <w:rFonts w:cs="Times New Roman"/>
                <w:sz w:val="25"/>
                <w:szCs w:val="25"/>
              </w:rPr>
              <w:br/>
            </w:r>
            <w:r>
              <w:rPr>
                <w:rFonts w:cs="Times New Roman"/>
                <w:sz w:val="25"/>
                <w:szCs w:val="25"/>
              </w:rPr>
              <w:t>d-800 мм в р. Содема в створе ул. Петина со стороны ул. Ленинградской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297344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CAC" w:rsidRDefault="008F1CAC">
            <w:pPr>
              <w:pStyle w:val="af4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AC" w:rsidRDefault="00297344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</w:tbl>
    <w:p w:rsidR="008F1CAC" w:rsidRDefault="00FA66D4" w:rsidP="00FA66D4">
      <w:pPr>
        <w:ind w:right="-117"/>
        <w:jc w:val="right"/>
        <w:rPr>
          <w:rFonts w:cs="Times New Roman"/>
          <w:sz w:val="26"/>
          <w:szCs w:val="26"/>
        </w:rPr>
      </w:pPr>
      <w:r>
        <w:rPr>
          <w:sz w:val="26"/>
          <w:szCs w:val="26"/>
        </w:rPr>
        <w:t>».</w:t>
      </w:r>
    </w:p>
    <w:sectPr w:rsidR="008F1CAC" w:rsidSect="00B40E77">
      <w:headerReference w:type="default" r:id="rId8"/>
      <w:headerReference w:type="first" r:id="rId9"/>
      <w:pgSz w:w="16838" w:h="11906" w:orient="landscape"/>
      <w:pgMar w:top="985" w:right="555" w:bottom="709" w:left="993" w:header="709" w:footer="0" w:gutter="0"/>
      <w:cols w:space="720"/>
      <w:formProt w:val="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6C5" w:rsidRDefault="000536C5">
      <w:r>
        <w:separator/>
      </w:r>
    </w:p>
  </w:endnote>
  <w:endnote w:type="continuationSeparator" w:id="0">
    <w:p w:rsidR="000536C5" w:rsidRDefault="00053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6C5" w:rsidRDefault="000536C5">
      <w:r>
        <w:separator/>
      </w:r>
    </w:p>
  </w:footnote>
  <w:footnote w:type="continuationSeparator" w:id="0">
    <w:p w:rsidR="000536C5" w:rsidRDefault="00053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848880"/>
      <w:docPartObj>
        <w:docPartGallery w:val="Page Numbers (Top of Page)"/>
        <w:docPartUnique/>
      </w:docPartObj>
    </w:sdtPr>
    <w:sdtEndPr/>
    <w:sdtContent>
      <w:p w:rsidR="00B40E77" w:rsidRDefault="005875F8">
        <w:pPr>
          <w:pStyle w:val="a7"/>
          <w:jc w:val="center"/>
        </w:pPr>
        <w:r>
          <w:fldChar w:fldCharType="begin"/>
        </w:r>
        <w:r w:rsidR="00B40E77">
          <w:instrText xml:space="preserve"> PAGE </w:instrText>
        </w:r>
        <w:r>
          <w:fldChar w:fldCharType="separate"/>
        </w:r>
        <w:r w:rsidR="00491CE8">
          <w:rPr>
            <w:noProof/>
          </w:rPr>
          <w:t>2</w:t>
        </w:r>
        <w:r>
          <w:fldChar w:fldCharType="end"/>
        </w:r>
      </w:p>
    </w:sdtContent>
  </w:sdt>
  <w:p w:rsidR="00B40E77" w:rsidRDefault="00B40E77">
    <w:pPr>
      <w:pStyle w:val="a7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E77" w:rsidRDefault="00B40E77">
    <w:pPr>
      <w:pStyle w:val="a7"/>
      <w:jc w:val="center"/>
    </w:pPr>
  </w:p>
  <w:p w:rsidR="00B40E77" w:rsidRDefault="00B40E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AC"/>
    <w:rsid w:val="000536C5"/>
    <w:rsid w:val="00234036"/>
    <w:rsid w:val="00297344"/>
    <w:rsid w:val="00391A0B"/>
    <w:rsid w:val="00491CE8"/>
    <w:rsid w:val="005875F8"/>
    <w:rsid w:val="006B10B3"/>
    <w:rsid w:val="00790B06"/>
    <w:rsid w:val="008F1CAC"/>
    <w:rsid w:val="00AA54D9"/>
    <w:rsid w:val="00B40E77"/>
    <w:rsid w:val="00B623C3"/>
    <w:rsid w:val="00D819BD"/>
    <w:rsid w:val="00F62C64"/>
    <w:rsid w:val="00FA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71"/>
    <w:pPr>
      <w:widowControl w:val="0"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F27A71"/>
  </w:style>
  <w:style w:type="character" w:customStyle="1" w:styleId="Absatz-Standardschriftart">
    <w:name w:val="Absatz-Standardschriftart"/>
    <w:qFormat/>
    <w:rsid w:val="00F27A71"/>
  </w:style>
  <w:style w:type="character" w:customStyle="1" w:styleId="WW-Absatz-Standardschriftart">
    <w:name w:val="WW-Absatz-Standardschriftart"/>
    <w:qFormat/>
    <w:rsid w:val="00F27A71"/>
  </w:style>
  <w:style w:type="character" w:customStyle="1" w:styleId="WW-Absatz-Standardschriftart1">
    <w:name w:val="WW-Absatz-Standardschriftart1"/>
    <w:qFormat/>
    <w:rsid w:val="00F27A71"/>
  </w:style>
  <w:style w:type="character" w:customStyle="1" w:styleId="WW-Absatz-Standardschriftart11">
    <w:name w:val="WW-Absatz-Standardschriftart11"/>
    <w:qFormat/>
    <w:rsid w:val="00F27A71"/>
  </w:style>
  <w:style w:type="character" w:customStyle="1" w:styleId="WW-Absatz-Standardschriftart111">
    <w:name w:val="WW-Absatz-Standardschriftart111"/>
    <w:qFormat/>
    <w:rsid w:val="00F27A71"/>
  </w:style>
  <w:style w:type="character" w:customStyle="1" w:styleId="WW-Absatz-Standardschriftart1111">
    <w:name w:val="WW-Absatz-Standardschriftart1111"/>
    <w:qFormat/>
    <w:rsid w:val="00F27A71"/>
  </w:style>
  <w:style w:type="character" w:customStyle="1" w:styleId="WW-Absatz-Standardschriftart11111">
    <w:name w:val="WW-Absatz-Standardschriftart11111"/>
    <w:qFormat/>
    <w:rsid w:val="00F27A71"/>
  </w:style>
  <w:style w:type="character" w:customStyle="1" w:styleId="WW-Absatz-Standardschriftart111111">
    <w:name w:val="WW-Absatz-Standardschriftart111111"/>
    <w:qFormat/>
    <w:rsid w:val="00F27A71"/>
  </w:style>
  <w:style w:type="character" w:customStyle="1" w:styleId="WW-Absatz-Standardschriftart1111111">
    <w:name w:val="WW-Absatz-Standardschriftart1111111"/>
    <w:qFormat/>
    <w:rsid w:val="00F27A71"/>
  </w:style>
  <w:style w:type="character" w:customStyle="1" w:styleId="WW-Absatz-Standardschriftart11111111">
    <w:name w:val="WW-Absatz-Standardschriftart11111111"/>
    <w:qFormat/>
    <w:rsid w:val="00F27A71"/>
  </w:style>
  <w:style w:type="character" w:customStyle="1" w:styleId="WW-Absatz-Standardschriftart111111111">
    <w:name w:val="WW-Absatz-Standardschriftart111111111"/>
    <w:qFormat/>
    <w:rsid w:val="00F27A71"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396003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character" w:styleId="a5">
    <w:name w:val="Strong"/>
    <w:basedOn w:val="a0"/>
    <w:uiPriority w:val="22"/>
    <w:qFormat/>
    <w:rsid w:val="005E5C13"/>
    <w:rPr>
      <w:b/>
      <w:bCs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1840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FontStyle158">
    <w:name w:val="Font Style158"/>
    <w:qFormat/>
    <w:rsid w:val="00FB2546"/>
    <w:rPr>
      <w:rFonts w:ascii="Times New Roman" w:hAnsi="Times New Roman" w:cs="Times New Roman"/>
      <w:sz w:val="26"/>
      <w:szCs w:val="26"/>
    </w:rPr>
  </w:style>
  <w:style w:type="character" w:customStyle="1" w:styleId="a8">
    <w:name w:val="Основной текст Знак"/>
    <w:basedOn w:val="a0"/>
    <w:link w:val="a9"/>
    <w:qFormat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aa">
    <w:name w:val="Название Знак"/>
    <w:basedOn w:val="a0"/>
    <w:link w:val="ab"/>
    <w:qFormat/>
    <w:rsid w:val="00FB2546"/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character" w:customStyle="1" w:styleId="ac">
    <w:name w:val="Подзаголовок Знак"/>
    <w:basedOn w:val="a0"/>
    <w:link w:val="ad"/>
    <w:qFormat/>
    <w:rsid w:val="00FB2546"/>
    <w:rPr>
      <w:rFonts w:ascii="Arial" w:eastAsia="Arial Unicode MS" w:hAnsi="Arial" w:cs="Mangal"/>
      <w:i/>
      <w:iCs/>
      <w:kern w:val="2"/>
      <w:sz w:val="28"/>
      <w:szCs w:val="28"/>
      <w:lang w:eastAsia="hi-IN" w:bidi="hi-IN"/>
    </w:rPr>
  </w:style>
  <w:style w:type="character" w:customStyle="1" w:styleId="10">
    <w:name w:val="Верхний колонтитул Знак1"/>
    <w:basedOn w:val="a0"/>
    <w:semiHidden/>
    <w:qFormat/>
    <w:rsid w:val="00FB2546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ae">
    <w:name w:val="Нижний колонтитул Знак"/>
    <w:basedOn w:val="a0"/>
    <w:link w:val="af"/>
    <w:qFormat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11">
    <w:name w:val="Текст выноски Знак1"/>
    <w:basedOn w:val="a0"/>
    <w:uiPriority w:val="99"/>
    <w:semiHidden/>
    <w:qFormat/>
    <w:rsid w:val="00FB2546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paragraph" w:customStyle="1" w:styleId="af0">
    <w:name w:val="Заголовок"/>
    <w:basedOn w:val="a"/>
    <w:next w:val="a9"/>
    <w:qFormat/>
    <w:rsid w:val="00F27A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9">
    <w:name w:val="Body Text"/>
    <w:basedOn w:val="a"/>
    <w:link w:val="a8"/>
    <w:rsid w:val="00F27A71"/>
    <w:pPr>
      <w:spacing w:after="120"/>
    </w:pPr>
  </w:style>
  <w:style w:type="paragraph" w:styleId="af1">
    <w:name w:val="List"/>
    <w:basedOn w:val="a9"/>
    <w:rsid w:val="00F27A71"/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f3">
    <w:name w:val="index heading"/>
    <w:basedOn w:val="a"/>
    <w:qFormat/>
    <w:pPr>
      <w:suppressLineNumbers/>
    </w:pPr>
    <w:rPr>
      <w:rFonts w:cs="Arial Unicode MS"/>
    </w:rPr>
  </w:style>
  <w:style w:type="paragraph" w:customStyle="1" w:styleId="2">
    <w:name w:val="Название2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F27A71"/>
    <w:pPr>
      <w:suppressLineNumbers/>
    </w:pPr>
  </w:style>
  <w:style w:type="paragraph" w:customStyle="1" w:styleId="12">
    <w:name w:val="Название1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rsid w:val="00F27A71"/>
    <w:pPr>
      <w:suppressLineNumbers/>
    </w:pPr>
  </w:style>
  <w:style w:type="paragraph" w:styleId="ab">
    <w:name w:val="Title"/>
    <w:basedOn w:val="af0"/>
    <w:next w:val="ad"/>
    <w:link w:val="aa"/>
    <w:qFormat/>
    <w:rsid w:val="00F27A71"/>
  </w:style>
  <w:style w:type="paragraph" w:styleId="ad">
    <w:name w:val="Subtitle"/>
    <w:basedOn w:val="af0"/>
    <w:next w:val="a9"/>
    <w:link w:val="ac"/>
    <w:qFormat/>
    <w:rsid w:val="00F27A71"/>
    <w:pPr>
      <w:jc w:val="center"/>
    </w:pPr>
    <w:rPr>
      <w:i/>
      <w:iCs/>
    </w:rPr>
  </w:style>
  <w:style w:type="paragraph" w:customStyle="1" w:styleId="af4">
    <w:name w:val="Содержимое таблицы"/>
    <w:basedOn w:val="a"/>
    <w:qFormat/>
    <w:rsid w:val="00F27A71"/>
    <w:pPr>
      <w:suppressLineNumbers/>
    </w:pPr>
  </w:style>
  <w:style w:type="paragraph" w:customStyle="1" w:styleId="af5">
    <w:name w:val="Заголовок таблицы"/>
    <w:basedOn w:val="af4"/>
    <w:qFormat/>
    <w:rsid w:val="00F27A71"/>
    <w:pPr>
      <w:jc w:val="center"/>
    </w:pPr>
    <w:rPr>
      <w:b/>
      <w:bCs/>
    </w:rPr>
  </w:style>
  <w:style w:type="paragraph" w:customStyle="1" w:styleId="af6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F27A71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e"/>
    <w:rsid w:val="00F27A7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F27A71"/>
    <w:rPr>
      <w:rFonts w:eastAsia="Arial"/>
      <w:b/>
      <w:bCs/>
      <w:kern w:val="2"/>
      <w:sz w:val="26"/>
      <w:szCs w:val="26"/>
      <w:lang w:eastAsia="ar-SA"/>
    </w:rPr>
  </w:style>
  <w:style w:type="paragraph" w:customStyle="1" w:styleId="ConsPlusNormal">
    <w:name w:val="ConsPlusNormal"/>
    <w:qFormat/>
    <w:rsid w:val="00F27A71"/>
    <w:pPr>
      <w:widowControl w:val="0"/>
    </w:pPr>
    <w:rPr>
      <w:rFonts w:ascii="Arial" w:eastAsia="Arial" w:hAnsi="Arial" w:cs="Arial"/>
      <w:kern w:val="2"/>
      <w:lang w:eastAsia="ar-SA"/>
    </w:rPr>
  </w:style>
  <w:style w:type="paragraph" w:styleId="a4">
    <w:name w:val="Balloon Text"/>
    <w:basedOn w:val="a"/>
    <w:link w:val="a3"/>
    <w:uiPriority w:val="99"/>
    <w:semiHidden/>
    <w:unhideWhenUsed/>
    <w:qFormat/>
    <w:rsid w:val="00396003"/>
    <w:rPr>
      <w:rFonts w:ascii="Tahoma" w:hAnsi="Tahoma"/>
      <w:sz w:val="16"/>
      <w:szCs w:val="14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FB2546"/>
    <w:pPr>
      <w:ind w:left="240" w:hanging="240"/>
    </w:pPr>
    <w:rPr>
      <w:szCs w:val="21"/>
    </w:rPr>
  </w:style>
  <w:style w:type="paragraph" w:customStyle="1" w:styleId="Standard">
    <w:name w:val="Standard"/>
    <w:qFormat/>
    <w:rsid w:val="00FB2546"/>
    <w:pPr>
      <w:widowControl w:val="0"/>
      <w:textAlignment w:val="baseline"/>
    </w:pPr>
    <w:rPr>
      <w:rFonts w:ascii="Arial" w:eastAsia="Arial Unicode MS" w:hAnsi="Arial" w:cs="Arial"/>
      <w:kern w:val="2"/>
      <w:sz w:val="21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71"/>
    <w:pPr>
      <w:widowControl w:val="0"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F27A71"/>
  </w:style>
  <w:style w:type="character" w:customStyle="1" w:styleId="Absatz-Standardschriftart">
    <w:name w:val="Absatz-Standardschriftart"/>
    <w:qFormat/>
    <w:rsid w:val="00F27A71"/>
  </w:style>
  <w:style w:type="character" w:customStyle="1" w:styleId="WW-Absatz-Standardschriftart">
    <w:name w:val="WW-Absatz-Standardschriftart"/>
    <w:qFormat/>
    <w:rsid w:val="00F27A71"/>
  </w:style>
  <w:style w:type="character" w:customStyle="1" w:styleId="WW-Absatz-Standardschriftart1">
    <w:name w:val="WW-Absatz-Standardschriftart1"/>
    <w:qFormat/>
    <w:rsid w:val="00F27A71"/>
  </w:style>
  <w:style w:type="character" w:customStyle="1" w:styleId="WW-Absatz-Standardschriftart11">
    <w:name w:val="WW-Absatz-Standardschriftart11"/>
    <w:qFormat/>
    <w:rsid w:val="00F27A71"/>
  </w:style>
  <w:style w:type="character" w:customStyle="1" w:styleId="WW-Absatz-Standardschriftart111">
    <w:name w:val="WW-Absatz-Standardschriftart111"/>
    <w:qFormat/>
    <w:rsid w:val="00F27A71"/>
  </w:style>
  <w:style w:type="character" w:customStyle="1" w:styleId="WW-Absatz-Standardschriftart1111">
    <w:name w:val="WW-Absatz-Standardschriftart1111"/>
    <w:qFormat/>
    <w:rsid w:val="00F27A71"/>
  </w:style>
  <w:style w:type="character" w:customStyle="1" w:styleId="WW-Absatz-Standardschriftart11111">
    <w:name w:val="WW-Absatz-Standardschriftart11111"/>
    <w:qFormat/>
    <w:rsid w:val="00F27A71"/>
  </w:style>
  <w:style w:type="character" w:customStyle="1" w:styleId="WW-Absatz-Standardschriftart111111">
    <w:name w:val="WW-Absatz-Standardschriftart111111"/>
    <w:qFormat/>
    <w:rsid w:val="00F27A71"/>
  </w:style>
  <w:style w:type="character" w:customStyle="1" w:styleId="WW-Absatz-Standardschriftart1111111">
    <w:name w:val="WW-Absatz-Standardschriftart1111111"/>
    <w:qFormat/>
    <w:rsid w:val="00F27A71"/>
  </w:style>
  <w:style w:type="character" w:customStyle="1" w:styleId="WW-Absatz-Standardschriftart11111111">
    <w:name w:val="WW-Absatz-Standardschriftart11111111"/>
    <w:qFormat/>
    <w:rsid w:val="00F27A71"/>
  </w:style>
  <w:style w:type="character" w:customStyle="1" w:styleId="WW-Absatz-Standardschriftart111111111">
    <w:name w:val="WW-Absatz-Standardschriftart111111111"/>
    <w:qFormat/>
    <w:rsid w:val="00F27A71"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396003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character" w:styleId="a5">
    <w:name w:val="Strong"/>
    <w:basedOn w:val="a0"/>
    <w:uiPriority w:val="22"/>
    <w:qFormat/>
    <w:rsid w:val="005E5C13"/>
    <w:rPr>
      <w:b/>
      <w:bCs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1840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FontStyle158">
    <w:name w:val="Font Style158"/>
    <w:qFormat/>
    <w:rsid w:val="00FB2546"/>
    <w:rPr>
      <w:rFonts w:ascii="Times New Roman" w:hAnsi="Times New Roman" w:cs="Times New Roman"/>
      <w:sz w:val="26"/>
      <w:szCs w:val="26"/>
    </w:rPr>
  </w:style>
  <w:style w:type="character" w:customStyle="1" w:styleId="a8">
    <w:name w:val="Основной текст Знак"/>
    <w:basedOn w:val="a0"/>
    <w:link w:val="a9"/>
    <w:qFormat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aa">
    <w:name w:val="Название Знак"/>
    <w:basedOn w:val="a0"/>
    <w:link w:val="ab"/>
    <w:qFormat/>
    <w:rsid w:val="00FB2546"/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character" w:customStyle="1" w:styleId="ac">
    <w:name w:val="Подзаголовок Знак"/>
    <w:basedOn w:val="a0"/>
    <w:link w:val="ad"/>
    <w:qFormat/>
    <w:rsid w:val="00FB2546"/>
    <w:rPr>
      <w:rFonts w:ascii="Arial" w:eastAsia="Arial Unicode MS" w:hAnsi="Arial" w:cs="Mangal"/>
      <w:i/>
      <w:iCs/>
      <w:kern w:val="2"/>
      <w:sz w:val="28"/>
      <w:szCs w:val="28"/>
      <w:lang w:eastAsia="hi-IN" w:bidi="hi-IN"/>
    </w:rPr>
  </w:style>
  <w:style w:type="character" w:customStyle="1" w:styleId="10">
    <w:name w:val="Верхний колонтитул Знак1"/>
    <w:basedOn w:val="a0"/>
    <w:semiHidden/>
    <w:qFormat/>
    <w:rsid w:val="00FB2546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ae">
    <w:name w:val="Нижний колонтитул Знак"/>
    <w:basedOn w:val="a0"/>
    <w:link w:val="af"/>
    <w:qFormat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11">
    <w:name w:val="Текст выноски Знак1"/>
    <w:basedOn w:val="a0"/>
    <w:uiPriority w:val="99"/>
    <w:semiHidden/>
    <w:qFormat/>
    <w:rsid w:val="00FB2546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paragraph" w:customStyle="1" w:styleId="af0">
    <w:name w:val="Заголовок"/>
    <w:basedOn w:val="a"/>
    <w:next w:val="a9"/>
    <w:qFormat/>
    <w:rsid w:val="00F27A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9">
    <w:name w:val="Body Text"/>
    <w:basedOn w:val="a"/>
    <w:link w:val="a8"/>
    <w:rsid w:val="00F27A71"/>
    <w:pPr>
      <w:spacing w:after="120"/>
    </w:pPr>
  </w:style>
  <w:style w:type="paragraph" w:styleId="af1">
    <w:name w:val="List"/>
    <w:basedOn w:val="a9"/>
    <w:rsid w:val="00F27A71"/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f3">
    <w:name w:val="index heading"/>
    <w:basedOn w:val="a"/>
    <w:qFormat/>
    <w:pPr>
      <w:suppressLineNumbers/>
    </w:pPr>
    <w:rPr>
      <w:rFonts w:cs="Arial Unicode MS"/>
    </w:rPr>
  </w:style>
  <w:style w:type="paragraph" w:customStyle="1" w:styleId="2">
    <w:name w:val="Название2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F27A71"/>
    <w:pPr>
      <w:suppressLineNumbers/>
    </w:pPr>
  </w:style>
  <w:style w:type="paragraph" w:customStyle="1" w:styleId="12">
    <w:name w:val="Название1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rsid w:val="00F27A71"/>
    <w:pPr>
      <w:suppressLineNumbers/>
    </w:pPr>
  </w:style>
  <w:style w:type="paragraph" w:styleId="ab">
    <w:name w:val="Title"/>
    <w:basedOn w:val="af0"/>
    <w:next w:val="ad"/>
    <w:link w:val="aa"/>
    <w:qFormat/>
    <w:rsid w:val="00F27A71"/>
  </w:style>
  <w:style w:type="paragraph" w:styleId="ad">
    <w:name w:val="Subtitle"/>
    <w:basedOn w:val="af0"/>
    <w:next w:val="a9"/>
    <w:link w:val="ac"/>
    <w:qFormat/>
    <w:rsid w:val="00F27A71"/>
    <w:pPr>
      <w:jc w:val="center"/>
    </w:pPr>
    <w:rPr>
      <w:i/>
      <w:iCs/>
    </w:rPr>
  </w:style>
  <w:style w:type="paragraph" w:customStyle="1" w:styleId="af4">
    <w:name w:val="Содержимое таблицы"/>
    <w:basedOn w:val="a"/>
    <w:qFormat/>
    <w:rsid w:val="00F27A71"/>
    <w:pPr>
      <w:suppressLineNumbers/>
    </w:pPr>
  </w:style>
  <w:style w:type="paragraph" w:customStyle="1" w:styleId="af5">
    <w:name w:val="Заголовок таблицы"/>
    <w:basedOn w:val="af4"/>
    <w:qFormat/>
    <w:rsid w:val="00F27A71"/>
    <w:pPr>
      <w:jc w:val="center"/>
    </w:pPr>
    <w:rPr>
      <w:b/>
      <w:bCs/>
    </w:rPr>
  </w:style>
  <w:style w:type="paragraph" w:customStyle="1" w:styleId="af6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F27A71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e"/>
    <w:rsid w:val="00F27A7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F27A71"/>
    <w:rPr>
      <w:rFonts w:eastAsia="Arial"/>
      <w:b/>
      <w:bCs/>
      <w:kern w:val="2"/>
      <w:sz w:val="26"/>
      <w:szCs w:val="26"/>
      <w:lang w:eastAsia="ar-SA"/>
    </w:rPr>
  </w:style>
  <w:style w:type="paragraph" w:customStyle="1" w:styleId="ConsPlusNormal">
    <w:name w:val="ConsPlusNormal"/>
    <w:qFormat/>
    <w:rsid w:val="00F27A71"/>
    <w:pPr>
      <w:widowControl w:val="0"/>
    </w:pPr>
    <w:rPr>
      <w:rFonts w:ascii="Arial" w:eastAsia="Arial" w:hAnsi="Arial" w:cs="Arial"/>
      <w:kern w:val="2"/>
      <w:lang w:eastAsia="ar-SA"/>
    </w:rPr>
  </w:style>
  <w:style w:type="paragraph" w:styleId="a4">
    <w:name w:val="Balloon Text"/>
    <w:basedOn w:val="a"/>
    <w:link w:val="a3"/>
    <w:uiPriority w:val="99"/>
    <w:semiHidden/>
    <w:unhideWhenUsed/>
    <w:qFormat/>
    <w:rsid w:val="00396003"/>
    <w:rPr>
      <w:rFonts w:ascii="Tahoma" w:hAnsi="Tahoma"/>
      <w:sz w:val="16"/>
      <w:szCs w:val="14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FB2546"/>
    <w:pPr>
      <w:ind w:left="240" w:hanging="240"/>
    </w:pPr>
    <w:rPr>
      <w:szCs w:val="21"/>
    </w:rPr>
  </w:style>
  <w:style w:type="paragraph" w:customStyle="1" w:styleId="Standard">
    <w:name w:val="Standard"/>
    <w:qFormat/>
    <w:rsid w:val="00FB2546"/>
    <w:pPr>
      <w:widowControl w:val="0"/>
      <w:textAlignment w:val="baseline"/>
    </w:pPr>
    <w:rPr>
      <w:rFonts w:ascii="Arial" w:eastAsia="Arial Unicode MS" w:hAnsi="Arial" w:cs="Arial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0D97C-5579-440A-8ED1-BBBA2016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4643</Words>
  <Characters>26469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Rubtsova_er</dc:creator>
  <cp:lastModifiedBy>Неустроева Наталья Константиновна</cp:lastModifiedBy>
  <cp:revision>2</cp:revision>
  <cp:lastPrinted>2023-08-18T15:04:00Z</cp:lastPrinted>
  <dcterms:created xsi:type="dcterms:W3CDTF">2023-09-01T13:12:00Z</dcterms:created>
  <dcterms:modified xsi:type="dcterms:W3CDTF">2023-09-01T13:12:00Z</dcterms:modified>
  <dc:language>ru-RU</dc:language>
</cp:coreProperties>
</file>