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73" w:rsidRPr="00605773" w:rsidRDefault="0060577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>Приложение</w:t>
      </w:r>
    </w:p>
    <w:p w:rsidR="00605773" w:rsidRPr="00605773" w:rsidRDefault="006057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>к Положению</w:t>
      </w:r>
    </w:p>
    <w:p w:rsidR="00605773" w:rsidRPr="00605773" w:rsidRDefault="006057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>о муниципальном контроле в сфере</w:t>
      </w:r>
    </w:p>
    <w:p w:rsidR="00605773" w:rsidRPr="00605773" w:rsidRDefault="006057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>благоустройства на территории</w:t>
      </w:r>
    </w:p>
    <w:p w:rsidR="00605773" w:rsidRPr="00605773" w:rsidRDefault="006057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</w:p>
    <w:p w:rsidR="00605773" w:rsidRPr="00605773" w:rsidRDefault="006057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773" w:rsidRPr="00605773" w:rsidRDefault="00605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5"/>
      <w:bookmarkEnd w:id="0"/>
      <w:r w:rsidRPr="00605773">
        <w:rPr>
          <w:rFonts w:ascii="Times New Roman" w:hAnsi="Times New Roman" w:cs="Times New Roman"/>
          <w:sz w:val="26"/>
          <w:szCs w:val="26"/>
        </w:rPr>
        <w:t>ПОРЯДОК</w:t>
      </w:r>
    </w:p>
    <w:p w:rsidR="00605773" w:rsidRPr="00605773" w:rsidRDefault="00605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>ОТНЕСЕНИЯ ОБЪЕКТОВ МУНИЦИПАЛЬНОГО КОНТРОЛЯ</w:t>
      </w:r>
    </w:p>
    <w:p w:rsidR="00605773" w:rsidRPr="00605773" w:rsidRDefault="00605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proofErr w:type="gramStart"/>
      <w:r w:rsidRPr="0060577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05773">
        <w:rPr>
          <w:rFonts w:ascii="Times New Roman" w:hAnsi="Times New Roman" w:cs="Times New Roman"/>
          <w:sz w:val="26"/>
          <w:szCs w:val="26"/>
        </w:rPr>
        <w:t xml:space="preserve"> ОПРЕДЕЛЕННОЙ</w:t>
      </w:r>
    </w:p>
    <w:p w:rsidR="00605773" w:rsidRPr="00605773" w:rsidRDefault="00605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>КАТЕГОРИИ РИСКА ПРИЧИНЕНИЯ ВРЕДА (УЩЕРБА)</w:t>
      </w:r>
    </w:p>
    <w:p w:rsidR="00605773" w:rsidRPr="00605773" w:rsidRDefault="00605773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605773" w:rsidRPr="00605773" w:rsidRDefault="006057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>1. Отнесение объектов муниципального контроля в сфере благоустройства к категориям риска причинения вреда (ущерба) (далее - категории риска) осуществляется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добросовестности контролируемых лиц, в зависимости от значения показателя риска (Р).</w:t>
      </w:r>
    </w:p>
    <w:p w:rsidR="00605773" w:rsidRPr="00605773" w:rsidRDefault="0060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>2. Показатель риска причинения вреда (ущерба) определяется по формуле:</w:t>
      </w:r>
    </w:p>
    <w:p w:rsidR="00605773" w:rsidRPr="00605773" w:rsidRDefault="0060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577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05773">
        <w:rPr>
          <w:rFonts w:ascii="Times New Roman" w:hAnsi="Times New Roman" w:cs="Times New Roman"/>
          <w:sz w:val="26"/>
          <w:szCs w:val="26"/>
        </w:rPr>
        <w:t xml:space="preserve"> = Р1 + Р2 + Р3 + Р4 + Р5 + Р6 + Р7 + Р8, + Р9, где:</w:t>
      </w:r>
    </w:p>
    <w:p w:rsidR="00605773" w:rsidRPr="00605773" w:rsidRDefault="006057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">
        <w:r w:rsidRPr="0060577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605773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26.04.2023 N 908)</w:t>
      </w:r>
    </w:p>
    <w:p w:rsidR="00605773" w:rsidRPr="00605773" w:rsidRDefault="006057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87"/>
        <w:gridCol w:w="1276"/>
      </w:tblGrid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Критерии риска причинения вреда (ущерба)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  <w:gridSpan w:val="2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Площадки различных назначений (Р</w:t>
            </w: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Автостоянка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Контейнерная площадка и площадка для складирования отдельных групп коммунальных отходов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  <w:gridSpan w:val="2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Назначение территории (Р</w:t>
            </w: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Территория рекреационного назначения (зоны отдыха, парки, сады, бульвары, скверы)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Территория транспортных коммуникаций (улицы, дороги, площади, пешеходные территории)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Инженерные коммуникации (колодцы, тепловые камеры, канавы, трубы, дренажи)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Хранение и ремонт автотранспорта (ГСК, </w:t>
            </w:r>
            <w:proofErr w:type="spell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шиномонтажи</w:t>
            </w:r>
            <w:proofErr w:type="spell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, СТО)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Садоводство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Водоохранная</w:t>
            </w:r>
            <w:proofErr w:type="spell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зона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  <w:gridSpan w:val="2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Здания, строения, сооружения (Р3)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Индивидуальный жилой дом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087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  <w:tc>
          <w:tcPr>
            <w:tcW w:w="1276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605773" w:rsidRPr="00605773" w:rsidRDefault="00605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(в ред. </w:t>
            </w:r>
            <w:hyperlink r:id="rId6">
              <w:r w:rsidRPr="0060577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решения</w:t>
              </w:r>
            </w:hyperlink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городской Думы от 26.10.2023 N 1017)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Объект производственного назначения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Объект социальной сферы (школы, детские сады, больницы, учреждения высшего и среднего профессионального образования)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Административный объект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Объект торговли (торговые центры, торгово-развлекательные центры (комплексы), объекты общественного питания)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Некапитальное стационарное строение и сооружение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Объект культурно-досуговой деятельности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7087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Объекты наружного освещения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605773" w:rsidRPr="00605773" w:rsidRDefault="00605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. 3.9 </w:t>
            </w: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введен</w:t>
            </w:r>
            <w:proofErr w:type="gram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>
              <w:r w:rsidRPr="0060577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решением</w:t>
              </w:r>
            </w:hyperlink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городской Думы от 26.04.2023 N 908)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>
              <w:r w:rsidRPr="0060577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3.10</w:t>
              </w:r>
            </w:hyperlink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Иной вид объекта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  <w:gridSpan w:val="2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Вид права (Р</w:t>
            </w: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Частная собственность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Аренда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Постоянное бессрочное пользование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Вид правообладателя (Р5) (за исключением многоквартирных домов)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605773" w:rsidRPr="00605773" w:rsidRDefault="00605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(в ред. </w:t>
            </w:r>
            <w:hyperlink r:id="rId9">
              <w:r w:rsidRPr="0060577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решения</w:t>
              </w:r>
            </w:hyperlink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городской Думы от 26.10.2023 N 1017)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Юридическое лицо, индивидуальный предприниматель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8363" w:type="dxa"/>
            <w:gridSpan w:val="2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Методы управления (Р</w:t>
            </w: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Непосредственное управление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7087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ТСЖ, ЖСК, ЖК</w:t>
            </w:r>
          </w:p>
        </w:tc>
        <w:tc>
          <w:tcPr>
            <w:tcW w:w="1276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605773" w:rsidRPr="00605773" w:rsidRDefault="00605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(в ред. </w:t>
            </w:r>
            <w:hyperlink r:id="rId10">
              <w:r w:rsidRPr="0060577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решения</w:t>
              </w:r>
            </w:hyperlink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городской Думы от 26.10.2023 N 1017)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7087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Управляющая организация (за исключением ТСЖ, ЖСК, ЖК)</w:t>
            </w:r>
          </w:p>
        </w:tc>
        <w:tc>
          <w:tcPr>
            <w:tcW w:w="1276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605773" w:rsidRPr="00605773" w:rsidRDefault="00605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(в ред. </w:t>
            </w:r>
            <w:hyperlink r:id="rId11">
              <w:r w:rsidRPr="0060577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решения</w:t>
              </w:r>
            </w:hyperlink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городской Думы от 26.10.2023 N 1017)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  <w:gridSpan w:val="2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Виды покрытия (Р</w:t>
            </w: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Асфальтобетонное покрытие (проезжая часть)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Асфальтобетонное покрытие (проезды, тротуары, парковки)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Грунтовое покрытие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</w:tc>
        <w:tc>
          <w:tcPr>
            <w:tcW w:w="7087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Газон</w:t>
            </w:r>
          </w:p>
        </w:tc>
        <w:tc>
          <w:tcPr>
            <w:tcW w:w="1276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605773" w:rsidRPr="00605773" w:rsidRDefault="00605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(п. 7 в ред. </w:t>
            </w:r>
            <w:hyperlink r:id="rId12">
              <w:r w:rsidRPr="0060577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решения</w:t>
              </w:r>
            </w:hyperlink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городской Думы от 26.10.2023 N 1017)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  <w:gridSpan w:val="2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Протяженность разрытия (Р8)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До 50 метров (включительно)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От 51 и до 100 метров (включительно)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7087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От 101 метра и более</w:t>
            </w:r>
          </w:p>
        </w:tc>
        <w:tc>
          <w:tcPr>
            <w:tcW w:w="1276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605773" w:rsidRPr="00605773" w:rsidRDefault="00605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(в ред. </w:t>
            </w:r>
            <w:hyperlink r:id="rId13">
              <w:r w:rsidRPr="0060577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решения</w:t>
              </w:r>
            </w:hyperlink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городской Думы от 26.10.2023 N 1017)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Объекты озеленения (Р</w:t>
            </w: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Дуб, липа, клен остролистный, горный, сахарный и др., ясень, бук, граб, платан, кипарис, кедр, сосна, ель, пихта, каштан, декоративные посадки плодовых деревьев</w:t>
            </w:r>
            <w:proofErr w:type="gramEnd"/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05773" w:rsidRPr="00605773">
        <w:tc>
          <w:tcPr>
            <w:tcW w:w="680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708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Ольха, береза, вяз, лиственница, осина, клен </w:t>
            </w:r>
            <w:proofErr w:type="spell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ясенелистный</w:t>
            </w:r>
            <w:proofErr w:type="spell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, тополь, ива</w:t>
            </w:r>
          </w:p>
        </w:tc>
        <w:tc>
          <w:tcPr>
            <w:tcW w:w="12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9.3.</w:t>
            </w:r>
          </w:p>
        </w:tc>
        <w:tc>
          <w:tcPr>
            <w:tcW w:w="7087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Кустарник</w:t>
            </w:r>
          </w:p>
        </w:tc>
        <w:tc>
          <w:tcPr>
            <w:tcW w:w="1276" w:type="dxa"/>
            <w:tcBorders>
              <w:bottom w:val="nil"/>
            </w:tcBorders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05773" w:rsidRPr="00605773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605773" w:rsidRPr="00605773" w:rsidRDefault="006057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(п. 9 </w:t>
            </w: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введен</w:t>
            </w:r>
            <w:proofErr w:type="gram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4">
              <w:r w:rsidRPr="0060577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решением</w:t>
              </w:r>
            </w:hyperlink>
            <w:r w:rsidRPr="00605773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городской Думы от 26.04.2023 N 908)</w:t>
            </w:r>
          </w:p>
        </w:tc>
      </w:tr>
    </w:tbl>
    <w:p w:rsidR="00605773" w:rsidRPr="00605773" w:rsidRDefault="006057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773" w:rsidRPr="00605773" w:rsidRDefault="006057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>3. Отнесение объектов контроля к категории риска осуществляется в зависимости от значения показателя риска согласно следующим условиям:</w:t>
      </w:r>
    </w:p>
    <w:p w:rsidR="00605773" w:rsidRPr="00605773" w:rsidRDefault="006057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3572"/>
      </w:tblGrid>
      <w:tr w:rsidR="00605773" w:rsidRPr="00605773">
        <w:tc>
          <w:tcPr>
            <w:tcW w:w="567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76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Категория риска</w:t>
            </w:r>
          </w:p>
        </w:tc>
        <w:tc>
          <w:tcPr>
            <w:tcW w:w="3572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Показатель риска "Р"</w:t>
            </w:r>
          </w:p>
        </w:tc>
      </w:tr>
      <w:tr w:rsidR="00605773" w:rsidRPr="00605773">
        <w:tc>
          <w:tcPr>
            <w:tcW w:w="56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876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Низкий риск</w:t>
            </w:r>
          </w:p>
        </w:tc>
        <w:tc>
          <w:tcPr>
            <w:tcW w:w="3572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до 0,61 (включительно)</w:t>
            </w:r>
          </w:p>
        </w:tc>
      </w:tr>
      <w:tr w:rsidR="00605773" w:rsidRPr="00605773">
        <w:tc>
          <w:tcPr>
            <w:tcW w:w="56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76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Умеренный риск</w:t>
            </w:r>
          </w:p>
        </w:tc>
        <w:tc>
          <w:tcPr>
            <w:tcW w:w="3572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от 0,62 до 1,00 (включительно)</w:t>
            </w:r>
          </w:p>
        </w:tc>
      </w:tr>
      <w:tr w:rsidR="00605773" w:rsidRPr="00605773">
        <w:tc>
          <w:tcPr>
            <w:tcW w:w="56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76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Средний риск</w:t>
            </w:r>
          </w:p>
        </w:tc>
        <w:tc>
          <w:tcPr>
            <w:tcW w:w="3572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от 1,01 до 1,3 (включительно)</w:t>
            </w:r>
          </w:p>
        </w:tc>
      </w:tr>
      <w:tr w:rsidR="00605773" w:rsidRPr="00605773">
        <w:tc>
          <w:tcPr>
            <w:tcW w:w="567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76" w:type="dxa"/>
          </w:tcPr>
          <w:p w:rsidR="00605773" w:rsidRPr="00605773" w:rsidRDefault="006057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Значительный риск</w:t>
            </w:r>
          </w:p>
        </w:tc>
        <w:tc>
          <w:tcPr>
            <w:tcW w:w="3572" w:type="dxa"/>
          </w:tcPr>
          <w:p w:rsidR="00605773" w:rsidRPr="00605773" w:rsidRDefault="006057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773">
              <w:rPr>
                <w:rFonts w:ascii="Times New Roman" w:hAnsi="Times New Roman" w:cs="Times New Roman"/>
                <w:sz w:val="26"/>
                <w:szCs w:val="26"/>
              </w:rPr>
              <w:t>более 1,3</w:t>
            </w:r>
          </w:p>
        </w:tc>
      </w:tr>
    </w:tbl>
    <w:p w:rsidR="00605773" w:rsidRPr="00605773" w:rsidRDefault="006057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05773">
        <w:rPr>
          <w:rFonts w:ascii="Times New Roman" w:hAnsi="Times New Roman" w:cs="Times New Roman"/>
          <w:sz w:val="26"/>
          <w:szCs w:val="26"/>
        </w:rPr>
        <w:t xml:space="preserve">(таблица в ред. </w:t>
      </w:r>
      <w:hyperlink r:id="rId15">
        <w:r w:rsidRPr="00605773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605773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26.10.2023 N 1017)</w:t>
      </w:r>
    </w:p>
    <w:p w:rsidR="00605773" w:rsidRDefault="00605773">
      <w:pPr>
        <w:pStyle w:val="ConsPlusNormal"/>
        <w:jc w:val="both"/>
      </w:pPr>
      <w:bookmarkStart w:id="1" w:name="_GoBack"/>
      <w:bookmarkEnd w:id="1"/>
    </w:p>
    <w:sectPr w:rsidR="00605773" w:rsidSect="00CA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73"/>
    <w:rsid w:val="00176D63"/>
    <w:rsid w:val="006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57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5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57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5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57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57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57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57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5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57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5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57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57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57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BF5EE72A0D5D20D25A69FB154018E3698F1C9F2A1AFDE992DCA65889BB28827679C609CA22737CFE7E2962B91226073F5186BA4B77B3349D8763E7FG0N" TargetMode="External"/><Relationship Id="rId13" Type="http://schemas.openxmlformats.org/officeDocument/2006/relationships/hyperlink" Target="consultantplus://offline/ref=5B5BF5EE72A0D5D20D25A69FB154018E3698F1C9F2A2A3D29822CA65889BB28827679C609CA22737CFE7E2942F91226073F5186BA4B77B3349D8763E7FG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5BF5EE72A0D5D20D25A69FB154018E3698F1C9F2A1AFDE992DCA65889BB28827679C609CA22737CFE7E2962D91226073F5186BA4B77B3349D8763E7FG0N" TargetMode="External"/><Relationship Id="rId12" Type="http://schemas.openxmlformats.org/officeDocument/2006/relationships/hyperlink" Target="consultantplus://offline/ref=5B5BF5EE72A0D5D20D25A69FB154018E3698F1C9F2A2A3D29822CA65889BB28827679C609CA22737CFE7E2962891226073F5186BA4B77B3349D8763E7FG0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5BF5EE72A0D5D20D25A69FB154018E3698F1C9F2A2A3D29822CA65889BB28827679C609CA22737CFE7E2962D91226073F5186BA4B77B3349D8763E7FG0N" TargetMode="External"/><Relationship Id="rId11" Type="http://schemas.openxmlformats.org/officeDocument/2006/relationships/hyperlink" Target="consultantplus://offline/ref=5B5BF5EE72A0D5D20D25A69FB154018E3698F1C9F2A2A3D29822CA65889BB28827679C609CA22737CFE7E2962991226073F5186BA4B77B3349D8763E7FG0N" TargetMode="External"/><Relationship Id="rId5" Type="http://schemas.openxmlformats.org/officeDocument/2006/relationships/hyperlink" Target="consultantplus://offline/ref=D9B28173482F37CEC98FE1FA8E43CD3405C4073A96D548456170285A85D3743F327DF56D2642399E93A06A2CF8EC2C299A32AD3FA13100B32BACF6ED68GBN" TargetMode="External"/><Relationship Id="rId15" Type="http://schemas.openxmlformats.org/officeDocument/2006/relationships/hyperlink" Target="consultantplus://offline/ref=5B5BF5EE72A0D5D20D25A69FB154018E3698F1C9F2A2A3D29822CA65889BB28827679C609CA22737CFE7E2942E91226073F5186BA4B77B3349D8763E7FG0N" TargetMode="External"/><Relationship Id="rId10" Type="http://schemas.openxmlformats.org/officeDocument/2006/relationships/hyperlink" Target="consultantplus://offline/ref=5B5BF5EE72A0D5D20D25A69FB154018E3698F1C9F2A2A3D29822CA65889BB28827679C609CA22737CFE7E2962E91226073F5186BA4B77B3349D8763E7FG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BF5EE72A0D5D20D25A69FB154018E3698F1C9F2A2A3D29822CA65889BB28827679C609CA22737CFE7E2962C91226073F5186BA4B77B3349D8763E7FG0N" TargetMode="External"/><Relationship Id="rId14" Type="http://schemas.openxmlformats.org/officeDocument/2006/relationships/hyperlink" Target="consultantplus://offline/ref=5B5BF5EE72A0D5D20D25A69FB154018E3698F1C9F2A1AFDE992DCA65889BB28827679C609CA22737CFE7E2962A91226073F5186BA4B77B3349D8763E7FG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1</cp:revision>
  <dcterms:created xsi:type="dcterms:W3CDTF">2023-11-24T13:06:00Z</dcterms:created>
  <dcterms:modified xsi:type="dcterms:W3CDTF">2023-11-24T13:10:00Z</dcterms:modified>
</cp:coreProperties>
</file>